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E9960" w14:textId="77777777" w:rsidR="00EF456B" w:rsidRPr="00EF456B" w:rsidRDefault="00EF456B" w:rsidP="00EF456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53535"/>
        </w:rPr>
      </w:pPr>
      <w:r w:rsidRPr="00EF456B">
        <w:rPr>
          <w:rFonts w:ascii="Times New Roman" w:hAnsi="Times New Roman" w:cs="Times New Roman"/>
          <w:b/>
          <w:bCs/>
          <w:color w:val="353535"/>
        </w:rPr>
        <w:t>Shrouded in ‘freezingly cold mist’: multi-domain human responses to Last Glacial Maximum cooling in highland Lesotho, southern Africa</w:t>
      </w:r>
    </w:p>
    <w:p w14:paraId="0CEEB026" w14:textId="77777777" w:rsidR="00EF456B" w:rsidRPr="00EF456B" w:rsidRDefault="00EF456B" w:rsidP="00EF456B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3BE86517" w14:textId="77777777" w:rsidR="00EF456B" w:rsidRPr="00EF456B" w:rsidRDefault="00EF456B" w:rsidP="00EF456B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5D7B018A" w14:textId="70868306" w:rsidR="00EF456B" w:rsidRPr="00EF456B" w:rsidRDefault="00EF456B" w:rsidP="00EF456B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EF456B">
        <w:rPr>
          <w:rFonts w:ascii="Times New Roman" w:hAnsi="Times New Roman" w:cs="Times New Roman"/>
          <w:color w:val="353535"/>
        </w:rPr>
        <w:t>Brian A. Stewart</w:t>
      </w:r>
      <w:r w:rsidRPr="00EF456B">
        <w:rPr>
          <w:rFonts w:ascii="Times New Roman" w:hAnsi="Times New Roman" w:cs="Times New Roman"/>
          <w:color w:val="353535"/>
          <w:vertAlign w:val="superscript"/>
        </w:rPr>
        <w:t>1,2,3</w:t>
      </w:r>
      <w:r w:rsidR="00804C37">
        <w:rPr>
          <w:rFonts w:ascii="Times New Roman" w:hAnsi="Times New Roman" w:cs="Times New Roman"/>
          <w:color w:val="353535"/>
          <w:vertAlign w:val="superscript"/>
        </w:rPr>
        <w:t>*</w:t>
      </w:r>
      <w:r w:rsidRPr="00EF456B">
        <w:rPr>
          <w:rFonts w:ascii="Times New Roman" w:hAnsi="Times New Roman" w:cs="Times New Roman"/>
          <w:color w:val="353535"/>
        </w:rPr>
        <w:t>, Kyra R. Pazan</w:t>
      </w:r>
      <w:r w:rsidRPr="00EF456B">
        <w:rPr>
          <w:rFonts w:ascii="Times New Roman" w:hAnsi="Times New Roman" w:cs="Times New Roman"/>
          <w:color w:val="353535"/>
          <w:vertAlign w:val="superscript"/>
        </w:rPr>
        <w:t>1</w:t>
      </w:r>
      <w:r w:rsidRPr="00EF456B">
        <w:rPr>
          <w:rFonts w:ascii="Times New Roman" w:hAnsi="Times New Roman" w:cs="Times New Roman"/>
          <w:color w:val="353535"/>
        </w:rPr>
        <w:t>, Sam Challis</w:t>
      </w:r>
      <w:r w:rsidRPr="00EF456B">
        <w:rPr>
          <w:rFonts w:ascii="Times New Roman" w:hAnsi="Times New Roman" w:cs="Times New Roman"/>
          <w:color w:val="353535"/>
          <w:vertAlign w:val="superscript"/>
        </w:rPr>
        <w:t>3</w:t>
      </w:r>
      <w:r w:rsidRPr="00EF456B">
        <w:rPr>
          <w:rFonts w:ascii="Times New Roman" w:hAnsi="Times New Roman" w:cs="Times New Roman"/>
          <w:color w:val="353535"/>
        </w:rPr>
        <w:t>, Peter J. Mitchell</w:t>
      </w:r>
      <w:r w:rsidR="009D68B0">
        <w:rPr>
          <w:rFonts w:ascii="Times New Roman" w:hAnsi="Times New Roman" w:cs="Times New Roman"/>
          <w:color w:val="353535"/>
          <w:vertAlign w:val="superscript"/>
        </w:rPr>
        <w:t>3,4</w:t>
      </w:r>
      <w:r>
        <w:rPr>
          <w:rFonts w:ascii="Times New Roman" w:hAnsi="Times New Roman" w:cs="Times New Roman"/>
          <w:color w:val="353535"/>
        </w:rPr>
        <w:t xml:space="preserve">, </w:t>
      </w:r>
      <w:r w:rsidRPr="00EF456B">
        <w:rPr>
          <w:rFonts w:ascii="Times New Roman" w:hAnsi="Times New Roman" w:cs="Times New Roman"/>
          <w:color w:val="353535"/>
        </w:rPr>
        <w:t>Genevieve Dewar</w:t>
      </w:r>
      <w:r w:rsidRPr="00EF456B">
        <w:rPr>
          <w:rFonts w:ascii="Times New Roman" w:hAnsi="Times New Roman" w:cs="Times New Roman"/>
          <w:color w:val="353535"/>
          <w:vertAlign w:val="superscript"/>
        </w:rPr>
        <w:t>5</w:t>
      </w:r>
    </w:p>
    <w:p w14:paraId="52F6F156" w14:textId="51B3C8F9" w:rsidR="00EF456B" w:rsidRDefault="00EF456B" w:rsidP="00EF456B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58BCF17D" w14:textId="74DBE1DA" w:rsidR="00EF456B" w:rsidRPr="00371F28" w:rsidRDefault="00EF456B" w:rsidP="00EF456B">
      <w:pPr>
        <w:rPr>
          <w:rFonts w:ascii="Times New Roman" w:hAnsi="Times New Roman"/>
          <w:sz w:val="20"/>
          <w:szCs w:val="20"/>
        </w:rPr>
      </w:pPr>
      <w:r w:rsidRPr="00371F28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371F28">
        <w:rPr>
          <w:rFonts w:ascii="Times New Roman" w:hAnsi="Times New Roman"/>
          <w:sz w:val="20"/>
          <w:szCs w:val="20"/>
        </w:rPr>
        <w:t xml:space="preserve">Department of </w:t>
      </w:r>
      <w:r>
        <w:rPr>
          <w:rFonts w:ascii="Times New Roman" w:hAnsi="Times New Roman"/>
          <w:sz w:val="20"/>
          <w:szCs w:val="20"/>
        </w:rPr>
        <w:t>Anthropology</w:t>
      </w:r>
      <w:r w:rsidRPr="00371F2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University of Michigan, Ann Arbor, USA</w:t>
      </w:r>
      <w:r w:rsidRPr="00371F28">
        <w:rPr>
          <w:rFonts w:ascii="Times New Roman" w:hAnsi="Times New Roman"/>
          <w:sz w:val="20"/>
          <w:szCs w:val="20"/>
        </w:rPr>
        <w:t xml:space="preserve"> </w:t>
      </w:r>
    </w:p>
    <w:p w14:paraId="63891ECD" w14:textId="30ECEF27" w:rsidR="00EF456B" w:rsidRDefault="00EF456B" w:rsidP="00EF456B">
      <w:pPr>
        <w:rPr>
          <w:rFonts w:ascii="Times New Roman" w:hAnsi="Times New Roman"/>
          <w:sz w:val="20"/>
          <w:szCs w:val="20"/>
        </w:rPr>
      </w:pPr>
      <w:r w:rsidRPr="00371F28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Museum of </w:t>
      </w:r>
      <w:r w:rsidRPr="00371F28">
        <w:rPr>
          <w:rFonts w:ascii="Times New Roman" w:hAnsi="Times New Roman"/>
          <w:sz w:val="20"/>
          <w:szCs w:val="20"/>
        </w:rPr>
        <w:t>Anthropolog</w:t>
      </w:r>
      <w:r>
        <w:rPr>
          <w:rFonts w:ascii="Times New Roman" w:hAnsi="Times New Roman"/>
          <w:sz w:val="20"/>
          <w:szCs w:val="20"/>
        </w:rPr>
        <w:t>ical Archaeology, University of Michigan, Ann Arbor, USA</w:t>
      </w:r>
    </w:p>
    <w:p w14:paraId="0C9F7367" w14:textId="1F45E469" w:rsidR="00EF456B" w:rsidRDefault="00EF456B" w:rsidP="00EF456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3 </w:t>
      </w:r>
      <w:r w:rsidRPr="00371F28">
        <w:rPr>
          <w:rFonts w:ascii="Times New Roman" w:hAnsi="Times New Roman"/>
          <w:sz w:val="20"/>
          <w:szCs w:val="20"/>
        </w:rPr>
        <w:t xml:space="preserve">Rock Art Research Institute, </w:t>
      </w:r>
      <w:r w:rsidR="00193C75">
        <w:rPr>
          <w:rFonts w:ascii="Times New Roman" w:hAnsi="Times New Roman"/>
          <w:sz w:val="20"/>
          <w:szCs w:val="20"/>
        </w:rPr>
        <w:t>School</w:t>
      </w:r>
      <w:r w:rsidRPr="00371F28">
        <w:rPr>
          <w:rFonts w:ascii="Times New Roman" w:hAnsi="Times New Roman"/>
          <w:sz w:val="20"/>
          <w:szCs w:val="20"/>
        </w:rPr>
        <w:t xml:space="preserve"> of Geography, Archaeology and Environmental Studies, University of the Witwatersrand, Johannesburg, South Africa</w:t>
      </w:r>
    </w:p>
    <w:p w14:paraId="466C24BF" w14:textId="51168B06" w:rsidR="009D68B0" w:rsidRDefault="009D68B0" w:rsidP="00EF456B">
      <w:pPr>
        <w:rPr>
          <w:rFonts w:ascii="Times New Roman" w:hAnsi="Times New Roman"/>
          <w:sz w:val="20"/>
          <w:szCs w:val="20"/>
        </w:rPr>
      </w:pPr>
      <w:r w:rsidRPr="009D68B0">
        <w:rPr>
          <w:rFonts w:ascii="Times New Roman" w:hAnsi="Times New Roman"/>
          <w:sz w:val="20"/>
          <w:szCs w:val="20"/>
          <w:vertAlign w:val="superscript"/>
        </w:rPr>
        <w:t>4</w:t>
      </w:r>
      <w:r>
        <w:rPr>
          <w:rFonts w:ascii="Times New Roman" w:hAnsi="Times New Roman"/>
          <w:sz w:val="20"/>
          <w:szCs w:val="20"/>
        </w:rPr>
        <w:t xml:space="preserve"> School of Archaeology, University of Oxford, Oxford, UK</w:t>
      </w:r>
    </w:p>
    <w:p w14:paraId="68E049F5" w14:textId="48E8CF99" w:rsidR="009D68B0" w:rsidRDefault="009D68B0" w:rsidP="00EF456B">
      <w:pPr>
        <w:rPr>
          <w:rFonts w:ascii="Times New Roman" w:hAnsi="Times New Roman"/>
          <w:sz w:val="20"/>
          <w:szCs w:val="20"/>
        </w:rPr>
      </w:pPr>
      <w:r w:rsidRPr="009D68B0">
        <w:rPr>
          <w:rFonts w:ascii="Times New Roman" w:hAnsi="Times New Roman"/>
          <w:sz w:val="20"/>
          <w:szCs w:val="20"/>
          <w:vertAlign w:val="superscript"/>
        </w:rPr>
        <w:t>5</w:t>
      </w:r>
      <w:r>
        <w:rPr>
          <w:rFonts w:ascii="Times New Roman" w:hAnsi="Times New Roman"/>
          <w:sz w:val="20"/>
          <w:szCs w:val="20"/>
        </w:rPr>
        <w:t xml:space="preserve"> Department of Anthropology, University of Toronto Scarborough, Scarborough, Canada</w:t>
      </w:r>
    </w:p>
    <w:p w14:paraId="2670EBA9" w14:textId="77777777" w:rsidR="00804C37" w:rsidRDefault="00804C37" w:rsidP="00EF456B">
      <w:pPr>
        <w:rPr>
          <w:rFonts w:ascii="Times New Roman" w:hAnsi="Times New Roman"/>
          <w:sz w:val="20"/>
          <w:szCs w:val="20"/>
        </w:rPr>
      </w:pPr>
    </w:p>
    <w:p w14:paraId="6591FC05" w14:textId="735D7CDB" w:rsidR="00EF456B" w:rsidRDefault="00EF456B" w:rsidP="00EF456B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648BCB2D" w14:textId="47E4973D" w:rsidR="00804C37" w:rsidRPr="00804C37" w:rsidRDefault="00804C37" w:rsidP="00EF456B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0"/>
          <w:szCs w:val="20"/>
        </w:rPr>
      </w:pPr>
      <w:r w:rsidRPr="00804C37">
        <w:rPr>
          <w:rFonts w:ascii="Times New Roman" w:hAnsi="Times New Roman" w:cs="Times New Roman"/>
          <w:color w:val="353535"/>
          <w:sz w:val="20"/>
          <w:szCs w:val="20"/>
        </w:rPr>
        <w:t>*corresponding author: bastew@umich.edu</w:t>
      </w:r>
    </w:p>
    <w:p w14:paraId="15C1DA85" w14:textId="77777777" w:rsidR="00804C37" w:rsidRDefault="00804C37" w:rsidP="00EF456B">
      <w:pPr>
        <w:spacing w:line="480" w:lineRule="auto"/>
        <w:jc w:val="both"/>
        <w:rPr>
          <w:rFonts w:ascii="Times New Roman" w:hAnsi="Times New Roman" w:cs="Times New Roman"/>
          <w:color w:val="353535"/>
        </w:rPr>
      </w:pPr>
    </w:p>
    <w:p w14:paraId="55A830FD" w14:textId="278AE00B" w:rsidR="001B3815" w:rsidRPr="00EF456B" w:rsidRDefault="00EF456B" w:rsidP="00EF456B">
      <w:pPr>
        <w:spacing w:line="480" w:lineRule="auto"/>
        <w:jc w:val="both"/>
        <w:rPr>
          <w:rFonts w:ascii="Times New Roman" w:hAnsi="Times New Roman" w:cs="Times New Roman"/>
        </w:rPr>
      </w:pPr>
      <w:r w:rsidRPr="00EF456B">
        <w:rPr>
          <w:rFonts w:ascii="Times New Roman" w:hAnsi="Times New Roman" w:cs="Times New Roman"/>
          <w:color w:val="353535"/>
        </w:rPr>
        <w:t>With the bulk of its landmass situated between the tropics of Capricorn and Cancer, there are few places in Africa with low ambient te</w:t>
      </w:r>
      <w:bookmarkStart w:id="0" w:name="_GoBack"/>
      <w:bookmarkEnd w:id="0"/>
      <w:r w:rsidRPr="00EF456B">
        <w:rPr>
          <w:rFonts w:ascii="Times New Roman" w:hAnsi="Times New Roman" w:cs="Times New Roman"/>
          <w:color w:val="353535"/>
        </w:rPr>
        <w:t xml:space="preserve">mperatures. But the continent’s </w:t>
      </w:r>
      <w:r w:rsidR="009D68B0" w:rsidRPr="00EF456B">
        <w:rPr>
          <w:rFonts w:ascii="Times New Roman" w:hAnsi="Times New Roman" w:cs="Times New Roman"/>
          <w:color w:val="353535"/>
        </w:rPr>
        <w:t>archipelago</w:t>
      </w:r>
      <w:r w:rsidRPr="00EF456B">
        <w:rPr>
          <w:rFonts w:ascii="Times New Roman" w:hAnsi="Times New Roman" w:cs="Times New Roman"/>
          <w:color w:val="353535"/>
        </w:rPr>
        <w:t xml:space="preserve"> of high mountain systems and volcanoes are obvious exceptions. As humans began exploiting </w:t>
      </w:r>
      <w:proofErr w:type="spellStart"/>
      <w:r w:rsidRPr="00EF456B">
        <w:rPr>
          <w:rFonts w:ascii="Times New Roman" w:hAnsi="Times New Roman" w:cs="Times New Roman"/>
          <w:color w:val="353535"/>
        </w:rPr>
        <w:t>afromontane</w:t>
      </w:r>
      <w:proofErr w:type="spellEnd"/>
      <w:r w:rsidRPr="00EF456B">
        <w:rPr>
          <w:rFonts w:ascii="Times New Roman" w:hAnsi="Times New Roman" w:cs="Times New Roman"/>
          <w:color w:val="353535"/>
        </w:rPr>
        <w:t xml:space="preserve"> and </w:t>
      </w:r>
      <w:proofErr w:type="spellStart"/>
      <w:r w:rsidRPr="00EF456B">
        <w:rPr>
          <w:rFonts w:ascii="Times New Roman" w:hAnsi="Times New Roman" w:cs="Times New Roman"/>
          <w:color w:val="353535"/>
        </w:rPr>
        <w:t>afroalpine</w:t>
      </w:r>
      <w:proofErr w:type="spellEnd"/>
      <w:r w:rsidRPr="00EF456B">
        <w:rPr>
          <w:rFonts w:ascii="Times New Roman" w:hAnsi="Times New Roman" w:cs="Times New Roman"/>
          <w:color w:val="353535"/>
        </w:rPr>
        <w:t xml:space="preserve"> environments on more than a sporadic basis, they were obliged to make strategic choices not often faced by foragers in other African ecosystems. This would have been especially true </w:t>
      </w:r>
      <w:r>
        <w:rPr>
          <w:rFonts w:ascii="Times New Roman" w:hAnsi="Times New Roman" w:cs="Times New Roman"/>
          <w:color w:val="353535"/>
        </w:rPr>
        <w:t>at the outset of</w:t>
      </w:r>
      <w:r w:rsidRPr="00EF456B">
        <w:rPr>
          <w:rFonts w:ascii="Times New Roman" w:hAnsi="Times New Roman" w:cs="Times New Roman"/>
          <w:color w:val="353535"/>
        </w:rPr>
        <w:t xml:space="preserve"> glacial and stadial phases, when mean annual temperatures in mountain zones dropped, primary productivity plummeted, and vegetation belts descended in altitude. In southern Africa’s highest mountain system – the Maloti-Drakensberg</w:t>
      </w:r>
      <w:r>
        <w:rPr>
          <w:rFonts w:ascii="Times New Roman" w:hAnsi="Times New Roman" w:cs="Times New Roman"/>
          <w:color w:val="353535"/>
        </w:rPr>
        <w:t xml:space="preserve"> Mountains</w:t>
      </w:r>
      <w:r w:rsidRPr="00EF456B">
        <w:rPr>
          <w:rFonts w:ascii="Times New Roman" w:hAnsi="Times New Roman" w:cs="Times New Roman"/>
          <w:color w:val="353535"/>
        </w:rPr>
        <w:t xml:space="preserve"> – the Last Glacial Maximum</w:t>
      </w:r>
      <w:r w:rsidR="009D68B0">
        <w:rPr>
          <w:rFonts w:ascii="Times New Roman" w:hAnsi="Times New Roman" w:cs="Times New Roman"/>
          <w:color w:val="353535"/>
        </w:rPr>
        <w:t xml:space="preserve"> (LGM)</w:t>
      </w:r>
      <w:r w:rsidRPr="00EF456B">
        <w:rPr>
          <w:rFonts w:ascii="Times New Roman" w:hAnsi="Times New Roman" w:cs="Times New Roman"/>
          <w:color w:val="353535"/>
        </w:rPr>
        <w:t xml:space="preserve"> is one of the only times of the past ~100,000 years that saw region </w:t>
      </w:r>
      <w:r w:rsidR="009D50E6">
        <w:rPr>
          <w:rFonts w:ascii="Times New Roman" w:hAnsi="Times New Roman" w:cs="Times New Roman"/>
          <w:color w:val="353535"/>
        </w:rPr>
        <w:t xml:space="preserve">mostly or wholly </w:t>
      </w:r>
      <w:r w:rsidRPr="00EF456B">
        <w:rPr>
          <w:rFonts w:ascii="Times New Roman" w:hAnsi="Times New Roman" w:cs="Times New Roman"/>
          <w:color w:val="353535"/>
        </w:rPr>
        <w:t xml:space="preserve">abandoned. Ahead of this apparent population crash, we see pronounced changes across a range of technological, subsistence, and social networking indicators that speak to </w:t>
      </w:r>
      <w:proofErr w:type="spellStart"/>
      <w:r w:rsidRPr="00EF456B">
        <w:rPr>
          <w:rFonts w:ascii="Times New Roman" w:hAnsi="Times New Roman" w:cs="Times New Roman"/>
          <w:color w:val="353535"/>
        </w:rPr>
        <w:t>afromontane</w:t>
      </w:r>
      <w:proofErr w:type="spellEnd"/>
      <w:r w:rsidRPr="00EF456B">
        <w:rPr>
          <w:rFonts w:ascii="Times New Roman" w:hAnsi="Times New Roman" w:cs="Times New Roman"/>
          <w:color w:val="353535"/>
        </w:rPr>
        <w:t xml:space="preserve"> foragers trying to come grips with their predicament, often in </w:t>
      </w:r>
      <w:r>
        <w:rPr>
          <w:rFonts w:ascii="Times New Roman" w:hAnsi="Times New Roman" w:cs="Times New Roman"/>
          <w:color w:val="353535"/>
        </w:rPr>
        <w:t>i</w:t>
      </w:r>
      <w:r w:rsidRPr="00EF456B">
        <w:rPr>
          <w:rFonts w:ascii="Times New Roman" w:hAnsi="Times New Roman" w:cs="Times New Roman"/>
          <w:color w:val="353535"/>
        </w:rPr>
        <w:t xml:space="preserve">nnovative ways. </w:t>
      </w:r>
      <w:r>
        <w:rPr>
          <w:rFonts w:ascii="Times New Roman" w:hAnsi="Times New Roman" w:cs="Times New Roman"/>
          <w:color w:val="353535"/>
        </w:rPr>
        <w:t>Here, we present zooarchaeological, lithic</w:t>
      </w:r>
      <w:r w:rsidR="00B61E84">
        <w:rPr>
          <w:rFonts w:ascii="Times New Roman" w:hAnsi="Times New Roman" w:cs="Times New Roman"/>
          <w:color w:val="353535"/>
        </w:rPr>
        <w:t xml:space="preserve"> and social</w:t>
      </w:r>
      <w:r>
        <w:rPr>
          <w:rFonts w:ascii="Times New Roman" w:hAnsi="Times New Roman" w:cs="Times New Roman"/>
          <w:color w:val="353535"/>
        </w:rPr>
        <w:t xml:space="preserve"> technological, and multi-proxy </w:t>
      </w:r>
      <w:proofErr w:type="spellStart"/>
      <w:r>
        <w:rPr>
          <w:rFonts w:ascii="Times New Roman" w:hAnsi="Times New Roman" w:cs="Times New Roman"/>
          <w:color w:val="353535"/>
        </w:rPr>
        <w:t>palaeoenvironmental</w:t>
      </w:r>
      <w:proofErr w:type="spellEnd"/>
      <w:r>
        <w:rPr>
          <w:rFonts w:ascii="Times New Roman" w:hAnsi="Times New Roman" w:cs="Times New Roman"/>
          <w:color w:val="353535"/>
        </w:rPr>
        <w:t xml:space="preserve"> data</w:t>
      </w:r>
      <w:r w:rsidR="009D68B0">
        <w:rPr>
          <w:rFonts w:ascii="Times New Roman" w:hAnsi="Times New Roman" w:cs="Times New Roman"/>
          <w:color w:val="353535"/>
        </w:rPr>
        <w:t xml:space="preserve"> spanning the LGM</w:t>
      </w:r>
      <w:r>
        <w:rPr>
          <w:rFonts w:ascii="Times New Roman" w:hAnsi="Times New Roman" w:cs="Times New Roman"/>
          <w:color w:val="353535"/>
        </w:rPr>
        <w:t xml:space="preserve"> from </w:t>
      </w:r>
      <w:proofErr w:type="spellStart"/>
      <w:r>
        <w:rPr>
          <w:rFonts w:ascii="Times New Roman" w:hAnsi="Times New Roman" w:cs="Times New Roman"/>
          <w:color w:val="353535"/>
        </w:rPr>
        <w:t>Melikane</w:t>
      </w:r>
      <w:proofErr w:type="spellEnd"/>
      <w:r>
        <w:rPr>
          <w:rFonts w:ascii="Times New Roman" w:hAnsi="Times New Roman" w:cs="Times New Roman"/>
          <w:color w:val="353535"/>
        </w:rPr>
        <w:t xml:space="preserve"> and </w:t>
      </w:r>
      <w:proofErr w:type="spellStart"/>
      <w:r>
        <w:rPr>
          <w:rFonts w:ascii="Times New Roman" w:hAnsi="Times New Roman" w:cs="Times New Roman"/>
          <w:color w:val="353535"/>
        </w:rPr>
        <w:t>Sehonghong</w:t>
      </w:r>
      <w:proofErr w:type="spellEnd"/>
      <w:r>
        <w:rPr>
          <w:rFonts w:ascii="Times New Roman" w:hAnsi="Times New Roman" w:cs="Times New Roman"/>
          <w:color w:val="353535"/>
        </w:rPr>
        <w:t xml:space="preserve">, two key Late Pleistocene sequences in the mountain core of highland Lesotho. </w:t>
      </w:r>
      <w:r w:rsidR="0019568F">
        <w:rPr>
          <w:rFonts w:ascii="Times New Roman" w:hAnsi="Times New Roman" w:cs="Times New Roman"/>
          <w:color w:val="353535"/>
        </w:rPr>
        <w:t>Our integrated datasets speak to intensification behaviors across a range of cultural domains</w:t>
      </w:r>
      <w:r w:rsidR="00E3053B">
        <w:rPr>
          <w:rFonts w:ascii="Times New Roman" w:hAnsi="Times New Roman" w:cs="Times New Roman"/>
          <w:color w:val="353535"/>
        </w:rPr>
        <w:t xml:space="preserve">, coupled with territorial and social network reorganizations, before such </w:t>
      </w:r>
      <w:r w:rsidR="004D3024">
        <w:rPr>
          <w:rFonts w:ascii="Times New Roman" w:hAnsi="Times New Roman" w:cs="Times New Roman"/>
          <w:color w:val="353535"/>
        </w:rPr>
        <w:t>adaptive responses</w:t>
      </w:r>
      <w:r w:rsidR="00E3053B">
        <w:rPr>
          <w:rFonts w:ascii="Times New Roman" w:hAnsi="Times New Roman" w:cs="Times New Roman"/>
          <w:color w:val="353535"/>
        </w:rPr>
        <w:t xml:space="preserve"> ultimately failed </w:t>
      </w:r>
      <w:proofErr w:type="spellStart"/>
      <w:r w:rsidR="00312FBE">
        <w:rPr>
          <w:rFonts w:ascii="Times New Roman" w:hAnsi="Times New Roman" w:cs="Times New Roman"/>
          <w:color w:val="353535"/>
        </w:rPr>
        <w:t>a</w:t>
      </w:r>
      <w:r w:rsidR="00E3053B">
        <w:rPr>
          <w:rFonts w:ascii="Times New Roman" w:hAnsi="Times New Roman" w:cs="Times New Roman"/>
          <w:color w:val="353535"/>
        </w:rPr>
        <w:t>fromontane</w:t>
      </w:r>
      <w:proofErr w:type="spellEnd"/>
      <w:r w:rsidR="00E3053B">
        <w:rPr>
          <w:rFonts w:ascii="Times New Roman" w:hAnsi="Times New Roman" w:cs="Times New Roman"/>
          <w:color w:val="353535"/>
        </w:rPr>
        <w:t xml:space="preserve"> foragers altogether. </w:t>
      </w:r>
      <w:r w:rsidRPr="00EF456B">
        <w:rPr>
          <w:rFonts w:ascii="Times New Roman" w:hAnsi="Times New Roman" w:cs="Times New Roman"/>
          <w:color w:val="353535"/>
        </w:rPr>
        <w:t xml:space="preserve">We close by </w:t>
      </w:r>
      <w:r w:rsidRPr="00EF456B">
        <w:rPr>
          <w:rFonts w:ascii="Times New Roman" w:hAnsi="Times New Roman" w:cs="Times New Roman"/>
          <w:color w:val="353535"/>
        </w:rPr>
        <w:lastRenderedPageBreak/>
        <w:t>speculating on possible knock-on implications for attendant impacts to local hunter-gatherer belief systems.</w:t>
      </w:r>
    </w:p>
    <w:sectPr w:rsidR="001B3815" w:rsidRPr="00EF456B" w:rsidSect="002F074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B"/>
    <w:rsid w:val="00101DA9"/>
    <w:rsid w:val="00193C75"/>
    <w:rsid w:val="0019568F"/>
    <w:rsid w:val="002F074A"/>
    <w:rsid w:val="00312FBE"/>
    <w:rsid w:val="00433D97"/>
    <w:rsid w:val="004C0C79"/>
    <w:rsid w:val="004D3024"/>
    <w:rsid w:val="0050010C"/>
    <w:rsid w:val="00804C37"/>
    <w:rsid w:val="009D50E6"/>
    <w:rsid w:val="009D68B0"/>
    <w:rsid w:val="00B61E84"/>
    <w:rsid w:val="00C11489"/>
    <w:rsid w:val="00E3053B"/>
    <w:rsid w:val="00E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582F3"/>
  <w15:chartTrackingRefBased/>
  <w15:docId w15:val="{CE2EC293-5417-8048-B0E6-81FA3C52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Stewart</dc:creator>
  <cp:keywords/>
  <dc:description/>
  <cp:lastModifiedBy>Brian Stewart</cp:lastModifiedBy>
  <cp:revision>12</cp:revision>
  <dcterms:created xsi:type="dcterms:W3CDTF">2021-07-12T13:31:00Z</dcterms:created>
  <dcterms:modified xsi:type="dcterms:W3CDTF">2021-07-12T14:33:00Z</dcterms:modified>
</cp:coreProperties>
</file>