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0F61A" w14:textId="2EE08E35" w:rsidR="00922C8A" w:rsidRDefault="00922C8A" w:rsidP="00A60653">
      <w:pPr>
        <w:jc w:val="center"/>
        <w:rPr>
          <w:rFonts w:ascii="Arial Narrow" w:hAnsi="Arial Narrow" w:cs="Arial"/>
          <w:b/>
          <w:sz w:val="24"/>
          <w:szCs w:val="24"/>
        </w:rPr>
      </w:pPr>
      <w:r>
        <w:rPr>
          <w:rFonts w:ascii="Arial Narrow" w:hAnsi="Arial Narrow" w:cs="Arial"/>
          <w:b/>
          <w:sz w:val="24"/>
          <w:szCs w:val="24"/>
        </w:rPr>
        <w:t xml:space="preserve">Session </w:t>
      </w:r>
      <w:r w:rsidRPr="004F06D2">
        <w:rPr>
          <w:rFonts w:ascii="Arial Narrow" w:hAnsi="Arial Narrow" w:cs="Arial"/>
          <w:b/>
          <w:sz w:val="24"/>
          <w:szCs w:val="24"/>
        </w:rPr>
        <w:t>S7-E: Examining cultural change and variability during the MSA over multiple spatial and temporal scales (Organizers: Nicholas J. Conard &amp; M. Gema Chacón)</w:t>
      </w:r>
    </w:p>
    <w:p w14:paraId="77BC5ACC" w14:textId="5582C8EE" w:rsidR="002928EF" w:rsidRPr="004F06D2" w:rsidRDefault="002928EF" w:rsidP="002928EF">
      <w:pPr>
        <w:rPr>
          <w:rFonts w:ascii="Arial Narrow" w:hAnsi="Arial Narrow" w:cs="Arial"/>
          <w:b/>
          <w:sz w:val="24"/>
          <w:szCs w:val="24"/>
        </w:rPr>
      </w:pPr>
      <w:r>
        <w:rPr>
          <w:rFonts w:ascii="Arial Narrow" w:hAnsi="Arial Narrow" w:cs="Arial"/>
          <w:b/>
          <w:sz w:val="24"/>
          <w:szCs w:val="24"/>
        </w:rPr>
        <w:t>----------------------------------------------------------------------------------------------------------------------</w:t>
      </w:r>
    </w:p>
    <w:p w14:paraId="793CB4D8" w14:textId="77777777" w:rsidR="002928EF" w:rsidRDefault="002928EF" w:rsidP="00F53ACD">
      <w:pPr>
        <w:pStyle w:val="Corpsdetexte"/>
        <w:rPr>
          <w:rFonts w:asciiTheme="minorHAnsi" w:hAnsiTheme="minorHAnsi" w:cstheme="minorHAnsi"/>
          <w:b w:val="0"/>
          <w:bCs w:val="0"/>
          <w:i w:val="0"/>
          <w:iCs/>
          <w:sz w:val="20"/>
          <w:szCs w:val="20"/>
          <w:lang w:val="en-GB"/>
        </w:rPr>
      </w:pPr>
    </w:p>
    <w:p w14:paraId="056DA370" w14:textId="77777777" w:rsidR="002928EF" w:rsidRDefault="002928EF" w:rsidP="002928EF">
      <w:pPr>
        <w:pStyle w:val="Corpsdetexte"/>
        <w:ind w:left="119"/>
        <w:rPr>
          <w:rFonts w:asciiTheme="minorHAnsi" w:hAnsiTheme="minorHAnsi" w:cstheme="minorHAnsi"/>
          <w:b w:val="0"/>
          <w:bCs w:val="0"/>
          <w:i w:val="0"/>
          <w:iCs/>
          <w:sz w:val="20"/>
          <w:szCs w:val="20"/>
          <w:lang w:val="en-GB"/>
        </w:rPr>
      </w:pPr>
    </w:p>
    <w:p w14:paraId="4DACB1F4" w14:textId="28F2CB4A" w:rsidR="002928EF" w:rsidRPr="002928EF" w:rsidRDefault="002928EF" w:rsidP="002928EF">
      <w:pPr>
        <w:pStyle w:val="Corpsdetexte"/>
        <w:ind w:left="119"/>
        <w:rPr>
          <w:rFonts w:asciiTheme="minorHAnsi" w:hAnsiTheme="minorHAnsi" w:cstheme="minorHAnsi"/>
          <w:bCs w:val="0"/>
          <w:i w:val="0"/>
          <w:iCs/>
          <w:sz w:val="28"/>
          <w:szCs w:val="20"/>
          <w:lang w:val="en-GB"/>
        </w:rPr>
      </w:pPr>
      <w:r w:rsidRPr="002928EF">
        <w:rPr>
          <w:rFonts w:asciiTheme="minorHAnsi" w:hAnsiTheme="minorHAnsi" w:cstheme="minorHAnsi"/>
          <w:bCs w:val="0"/>
          <w:i w:val="0"/>
          <w:iCs/>
          <w:sz w:val="28"/>
          <w:szCs w:val="20"/>
          <w:lang w:val="en-GB"/>
        </w:rPr>
        <w:t xml:space="preserve">Bifacials and ochres revealing MSA cultural dynamics during MIS3 with the West African site of Toumboura III (Senegal) </w:t>
      </w:r>
    </w:p>
    <w:p w14:paraId="7533B275" w14:textId="77777777" w:rsidR="002928EF" w:rsidRPr="00611106" w:rsidRDefault="002928EF" w:rsidP="002928EF">
      <w:pPr>
        <w:pStyle w:val="Corpsdetexte"/>
        <w:spacing w:before="10"/>
        <w:rPr>
          <w:rFonts w:asciiTheme="minorHAnsi" w:hAnsiTheme="minorHAnsi" w:cstheme="minorHAnsi"/>
          <w:sz w:val="20"/>
          <w:lang w:val="en-GB"/>
        </w:rPr>
      </w:pPr>
    </w:p>
    <w:p w14:paraId="0752AB1C" w14:textId="2693307B" w:rsidR="00611106" w:rsidRPr="002928EF" w:rsidRDefault="00611106" w:rsidP="008775DB">
      <w:pPr>
        <w:ind w:left="284"/>
        <w:rPr>
          <w:rFonts w:asciiTheme="minorHAnsi" w:hAnsiTheme="minorHAnsi" w:cstheme="minorHAnsi"/>
          <w:w w:val="105"/>
          <w:sz w:val="20"/>
          <w:szCs w:val="20"/>
          <w:lang w:val="fr-BE"/>
        </w:rPr>
      </w:pPr>
      <w:r w:rsidRPr="00E55DEF">
        <w:rPr>
          <w:rFonts w:asciiTheme="minorHAnsi" w:hAnsiTheme="minorHAnsi" w:cstheme="minorHAnsi"/>
          <w:w w:val="105"/>
          <w:sz w:val="20"/>
          <w:szCs w:val="20"/>
          <w:lang w:val="en-GB"/>
        </w:rPr>
        <w:t xml:space="preserve">Viola C. Schmid (1.,2.,3.) </w:t>
      </w:r>
      <w:r w:rsidRPr="002928EF">
        <w:rPr>
          <w:rFonts w:asciiTheme="minorHAnsi" w:hAnsiTheme="minorHAnsi" w:cstheme="minorHAnsi"/>
          <w:w w:val="105"/>
          <w:sz w:val="20"/>
          <w:szCs w:val="20"/>
          <w:lang w:val="fr-BE"/>
        </w:rPr>
        <w:t>*</w:t>
      </w:r>
    </w:p>
    <w:p w14:paraId="1F25925F" w14:textId="106B6D29" w:rsidR="00611106" w:rsidRPr="002928EF" w:rsidRDefault="00611106" w:rsidP="008775DB">
      <w:pPr>
        <w:ind w:left="284"/>
        <w:rPr>
          <w:rFonts w:asciiTheme="minorHAnsi" w:hAnsiTheme="minorHAnsi" w:cstheme="minorHAnsi"/>
          <w:w w:val="105"/>
          <w:sz w:val="20"/>
          <w:szCs w:val="20"/>
          <w:lang w:val="fr-BE"/>
        </w:rPr>
      </w:pPr>
      <w:r w:rsidRPr="002928EF">
        <w:rPr>
          <w:rFonts w:asciiTheme="minorHAnsi" w:hAnsiTheme="minorHAnsi" w:cstheme="minorHAnsi"/>
          <w:w w:val="105"/>
          <w:sz w:val="20"/>
          <w:szCs w:val="20"/>
          <w:lang w:val="fr-BE"/>
        </w:rPr>
        <w:t>Laure Dayet (4.)</w:t>
      </w:r>
    </w:p>
    <w:p w14:paraId="3EFB4477" w14:textId="22D8707F" w:rsidR="00BE7658" w:rsidRPr="002928EF" w:rsidRDefault="00BE7658" w:rsidP="00BE7658">
      <w:pPr>
        <w:ind w:left="284"/>
        <w:rPr>
          <w:rFonts w:asciiTheme="minorHAnsi" w:hAnsiTheme="minorHAnsi" w:cstheme="minorHAnsi"/>
          <w:w w:val="105"/>
          <w:sz w:val="20"/>
          <w:szCs w:val="20"/>
          <w:lang w:val="fr-BE"/>
        </w:rPr>
      </w:pPr>
      <w:r w:rsidRPr="002928EF">
        <w:rPr>
          <w:rFonts w:asciiTheme="minorHAnsi" w:hAnsiTheme="minorHAnsi" w:cstheme="minorHAnsi"/>
          <w:w w:val="105"/>
          <w:sz w:val="20"/>
          <w:szCs w:val="20"/>
          <w:lang w:val="fr-BE"/>
        </w:rPr>
        <w:t>Chantal Tribolo (5.)</w:t>
      </w:r>
    </w:p>
    <w:p w14:paraId="04477412" w14:textId="62A870B9" w:rsidR="00BE7658" w:rsidRPr="002928EF" w:rsidRDefault="00BE7658" w:rsidP="00BE7658">
      <w:pPr>
        <w:ind w:left="284"/>
        <w:rPr>
          <w:rFonts w:asciiTheme="minorHAnsi" w:hAnsiTheme="minorHAnsi" w:cstheme="minorHAnsi"/>
          <w:w w:val="105"/>
          <w:sz w:val="20"/>
          <w:szCs w:val="20"/>
          <w:lang w:val="fr-BE"/>
        </w:rPr>
      </w:pPr>
      <w:r w:rsidRPr="002928EF">
        <w:rPr>
          <w:rFonts w:asciiTheme="minorHAnsi" w:hAnsiTheme="minorHAnsi" w:cstheme="minorHAnsi"/>
          <w:w w:val="105"/>
          <w:sz w:val="20"/>
          <w:szCs w:val="20"/>
          <w:lang w:val="fr-BE"/>
        </w:rPr>
        <w:t>Brice Lebrun (5.)</w:t>
      </w:r>
    </w:p>
    <w:p w14:paraId="4655BF41" w14:textId="40524094" w:rsidR="00BE7658" w:rsidRPr="002928EF" w:rsidRDefault="00BE7658" w:rsidP="00BE7658">
      <w:pPr>
        <w:ind w:left="284"/>
        <w:rPr>
          <w:rFonts w:asciiTheme="minorHAnsi" w:hAnsiTheme="minorHAnsi" w:cstheme="minorHAnsi"/>
          <w:w w:val="105"/>
          <w:sz w:val="20"/>
          <w:szCs w:val="20"/>
          <w:lang w:val="fr-BE"/>
        </w:rPr>
      </w:pPr>
      <w:r w:rsidRPr="002928EF">
        <w:rPr>
          <w:rFonts w:asciiTheme="minorHAnsi" w:hAnsiTheme="minorHAnsi" w:cstheme="minorHAnsi"/>
          <w:w w:val="105"/>
          <w:sz w:val="20"/>
          <w:szCs w:val="20"/>
          <w:lang w:val="fr-BE"/>
        </w:rPr>
        <w:t>Michel Rasse (6.)</w:t>
      </w:r>
    </w:p>
    <w:p w14:paraId="1744D2C0" w14:textId="1C3B4B78" w:rsidR="00BE7658" w:rsidRPr="002928EF" w:rsidRDefault="00BE7658" w:rsidP="00BE7658">
      <w:pPr>
        <w:ind w:left="284"/>
        <w:rPr>
          <w:rFonts w:asciiTheme="minorHAnsi" w:hAnsiTheme="minorHAnsi" w:cstheme="minorHAnsi"/>
          <w:w w:val="105"/>
          <w:sz w:val="20"/>
          <w:szCs w:val="20"/>
          <w:lang w:val="fr-BE"/>
        </w:rPr>
      </w:pPr>
      <w:r w:rsidRPr="002928EF">
        <w:rPr>
          <w:rFonts w:asciiTheme="minorHAnsi" w:hAnsiTheme="minorHAnsi" w:cstheme="minorHAnsi"/>
          <w:w w:val="105"/>
          <w:sz w:val="20"/>
          <w:szCs w:val="20"/>
          <w:lang w:val="fr-BE"/>
        </w:rPr>
        <w:t>Laurent Lespez (7.)</w:t>
      </w:r>
    </w:p>
    <w:p w14:paraId="29CB030D" w14:textId="0E5E9465" w:rsidR="00BE7658" w:rsidRPr="002928EF" w:rsidRDefault="00BE7658" w:rsidP="00BE7658">
      <w:pPr>
        <w:ind w:left="284"/>
        <w:rPr>
          <w:rFonts w:asciiTheme="minorHAnsi" w:hAnsiTheme="minorHAnsi" w:cstheme="minorHAnsi"/>
          <w:w w:val="105"/>
          <w:sz w:val="20"/>
          <w:szCs w:val="20"/>
          <w:lang w:val="fr-BE"/>
        </w:rPr>
      </w:pPr>
      <w:r w:rsidRPr="002928EF">
        <w:rPr>
          <w:rFonts w:asciiTheme="minorHAnsi" w:hAnsiTheme="minorHAnsi" w:cstheme="minorHAnsi"/>
          <w:w w:val="105"/>
          <w:sz w:val="20"/>
          <w:szCs w:val="20"/>
          <w:lang w:val="fr-BE"/>
        </w:rPr>
        <w:t>Maria Lorenzo Martinez (1.)</w:t>
      </w:r>
    </w:p>
    <w:p w14:paraId="5B70C2C9" w14:textId="77777777" w:rsidR="00611106" w:rsidRPr="00922C8A" w:rsidRDefault="00611106" w:rsidP="008775DB">
      <w:pPr>
        <w:ind w:left="284"/>
        <w:rPr>
          <w:rFonts w:asciiTheme="minorHAnsi" w:hAnsiTheme="minorHAnsi" w:cstheme="minorHAnsi"/>
          <w:w w:val="105"/>
          <w:sz w:val="20"/>
          <w:szCs w:val="20"/>
        </w:rPr>
      </w:pPr>
      <w:r w:rsidRPr="00922C8A">
        <w:rPr>
          <w:rFonts w:asciiTheme="minorHAnsi" w:hAnsiTheme="minorHAnsi" w:cstheme="minorHAnsi"/>
          <w:w w:val="105"/>
          <w:sz w:val="20"/>
          <w:szCs w:val="20"/>
        </w:rPr>
        <w:t>Katja Douze (1.)</w:t>
      </w:r>
    </w:p>
    <w:p w14:paraId="7DF0FBB1" w14:textId="64235B2B" w:rsidR="00611106" w:rsidRPr="00922C8A" w:rsidRDefault="00611106" w:rsidP="008775DB">
      <w:pPr>
        <w:ind w:left="284"/>
        <w:rPr>
          <w:rFonts w:asciiTheme="minorHAnsi" w:hAnsiTheme="minorHAnsi" w:cstheme="minorHAnsi"/>
          <w:w w:val="105"/>
          <w:sz w:val="20"/>
          <w:szCs w:val="20"/>
        </w:rPr>
      </w:pPr>
      <w:r w:rsidRPr="00922C8A">
        <w:rPr>
          <w:rFonts w:asciiTheme="minorHAnsi" w:hAnsiTheme="minorHAnsi" w:cstheme="minorHAnsi"/>
          <w:w w:val="105"/>
          <w:sz w:val="20"/>
          <w:szCs w:val="20"/>
        </w:rPr>
        <w:t>Eric Huysecom (1.)</w:t>
      </w:r>
    </w:p>
    <w:p w14:paraId="20F4C22B" w14:textId="77777777" w:rsidR="00611106" w:rsidRPr="00922C8A" w:rsidRDefault="00611106" w:rsidP="00611106">
      <w:pPr>
        <w:pStyle w:val="Corpsdetexte"/>
        <w:spacing w:before="10"/>
        <w:rPr>
          <w:rFonts w:asciiTheme="minorHAnsi" w:hAnsiTheme="minorHAnsi" w:cstheme="minorHAnsi"/>
          <w:b w:val="0"/>
          <w:i w:val="0"/>
          <w:sz w:val="22"/>
        </w:rPr>
      </w:pPr>
    </w:p>
    <w:p w14:paraId="68C9B1AD" w14:textId="77777777" w:rsidR="00611106" w:rsidRPr="00611106" w:rsidRDefault="00611106" w:rsidP="00611106">
      <w:pPr>
        <w:pStyle w:val="Corpsdetexte"/>
        <w:ind w:left="120"/>
        <w:rPr>
          <w:rFonts w:asciiTheme="minorHAnsi" w:hAnsiTheme="minorHAnsi" w:cstheme="minorHAnsi"/>
          <w:lang w:val="en-GB"/>
        </w:rPr>
      </w:pPr>
      <w:r w:rsidRPr="00611106">
        <w:rPr>
          <w:rFonts w:asciiTheme="minorHAnsi" w:hAnsiTheme="minorHAnsi" w:cstheme="minorHAnsi"/>
          <w:w w:val="105"/>
          <w:lang w:val="en-GB"/>
        </w:rPr>
        <w:t>Institutional affiliations</w:t>
      </w:r>
    </w:p>
    <w:p w14:paraId="1CB233AF" w14:textId="77777777" w:rsidR="00611106" w:rsidRPr="00611106" w:rsidRDefault="00611106" w:rsidP="00611106">
      <w:pPr>
        <w:pStyle w:val="Corpsdetexte"/>
        <w:spacing w:before="9"/>
        <w:rPr>
          <w:rFonts w:asciiTheme="minorHAnsi" w:hAnsiTheme="minorHAnsi" w:cstheme="minorHAnsi"/>
          <w:sz w:val="22"/>
          <w:lang w:val="en-GB"/>
        </w:rPr>
      </w:pPr>
    </w:p>
    <w:p w14:paraId="7B758162" w14:textId="77777777" w:rsidR="00611106" w:rsidRPr="00E55DEF" w:rsidRDefault="00611106" w:rsidP="00611106">
      <w:pPr>
        <w:ind w:left="284" w:hanging="142"/>
        <w:rPr>
          <w:rFonts w:asciiTheme="minorHAnsi" w:hAnsiTheme="minorHAnsi" w:cstheme="minorHAnsi"/>
          <w:w w:val="105"/>
          <w:sz w:val="18"/>
          <w:szCs w:val="18"/>
          <w:lang w:val="en-GB"/>
        </w:rPr>
      </w:pPr>
      <w:r w:rsidRPr="00E55DEF">
        <w:rPr>
          <w:rFonts w:asciiTheme="minorHAnsi" w:hAnsiTheme="minorHAnsi" w:cstheme="minorHAnsi"/>
          <w:w w:val="105"/>
          <w:sz w:val="18"/>
          <w:szCs w:val="18"/>
          <w:lang w:val="en-GB"/>
        </w:rPr>
        <w:t xml:space="preserve">1. </w:t>
      </w:r>
      <w:bookmarkStart w:id="0" w:name="_GoBack"/>
      <w:r w:rsidRPr="00E55DEF">
        <w:rPr>
          <w:rFonts w:asciiTheme="minorHAnsi" w:hAnsiTheme="minorHAnsi" w:cstheme="minorHAnsi"/>
          <w:w w:val="105"/>
          <w:sz w:val="18"/>
          <w:szCs w:val="18"/>
          <w:lang w:val="en-GB"/>
        </w:rPr>
        <w:t>Laboratory Archaeology and Population in Africa (APA), Department of Genetics and Evolution, Anthropology Unit, University of Geneva</w:t>
      </w:r>
      <w:bookmarkEnd w:id="0"/>
      <w:r w:rsidRPr="00E55DEF">
        <w:rPr>
          <w:rFonts w:asciiTheme="minorHAnsi" w:hAnsiTheme="minorHAnsi" w:cstheme="minorHAnsi"/>
          <w:w w:val="105"/>
          <w:sz w:val="18"/>
          <w:szCs w:val="18"/>
          <w:lang w:val="en-GB"/>
        </w:rPr>
        <w:t>, Switzerland</w:t>
      </w:r>
    </w:p>
    <w:p w14:paraId="65F1915F" w14:textId="77777777" w:rsidR="00611106" w:rsidRPr="00E55DEF" w:rsidRDefault="00611106" w:rsidP="00611106">
      <w:pPr>
        <w:ind w:left="120"/>
        <w:rPr>
          <w:rFonts w:asciiTheme="minorHAnsi" w:hAnsiTheme="minorHAnsi" w:cstheme="minorHAnsi"/>
          <w:w w:val="105"/>
          <w:sz w:val="18"/>
          <w:szCs w:val="18"/>
          <w:lang w:val="en-GB"/>
        </w:rPr>
      </w:pPr>
      <w:r w:rsidRPr="00E55DEF">
        <w:rPr>
          <w:rFonts w:asciiTheme="minorHAnsi" w:hAnsiTheme="minorHAnsi" w:cstheme="minorHAnsi"/>
          <w:w w:val="105"/>
          <w:sz w:val="18"/>
          <w:szCs w:val="18"/>
          <w:lang w:val="en-GB"/>
        </w:rPr>
        <w:t>2. Department of Early Prehistory and Quaternary Ecology, University of Tübingen, Germany</w:t>
      </w:r>
    </w:p>
    <w:p w14:paraId="7F62E49E" w14:textId="77777777" w:rsidR="00611106" w:rsidRPr="00E55DEF" w:rsidRDefault="00611106" w:rsidP="00611106">
      <w:pPr>
        <w:ind w:left="284" w:hanging="142"/>
        <w:rPr>
          <w:rFonts w:asciiTheme="minorHAnsi" w:hAnsiTheme="minorHAnsi" w:cstheme="minorHAnsi"/>
          <w:w w:val="105"/>
          <w:sz w:val="18"/>
          <w:szCs w:val="18"/>
          <w:lang w:val="en-GB"/>
        </w:rPr>
      </w:pPr>
      <w:r w:rsidRPr="00E55DEF">
        <w:rPr>
          <w:rFonts w:asciiTheme="minorHAnsi" w:hAnsiTheme="minorHAnsi" w:cstheme="minorHAnsi"/>
          <w:w w:val="105"/>
          <w:sz w:val="18"/>
          <w:szCs w:val="18"/>
          <w:lang w:val="en-GB"/>
        </w:rPr>
        <w:t>3. Research group AnTET -Anthropology of Techniques, Spaces and Territories in the Pliocene and the Pleistocene, University Paris Nanterre, France</w:t>
      </w:r>
    </w:p>
    <w:p w14:paraId="40515CCA" w14:textId="72F94A3D" w:rsidR="00611106" w:rsidRPr="00E55DEF" w:rsidRDefault="00611106" w:rsidP="00AF752D">
      <w:pPr>
        <w:ind w:left="284" w:hanging="142"/>
        <w:rPr>
          <w:rFonts w:asciiTheme="minorHAnsi" w:hAnsiTheme="minorHAnsi" w:cstheme="minorHAnsi"/>
          <w:w w:val="105"/>
          <w:sz w:val="18"/>
          <w:szCs w:val="18"/>
          <w:lang w:val="fr-FR"/>
        </w:rPr>
      </w:pPr>
      <w:r w:rsidRPr="00E55DEF">
        <w:rPr>
          <w:rFonts w:asciiTheme="minorHAnsi" w:hAnsiTheme="minorHAnsi" w:cstheme="minorHAnsi"/>
          <w:w w:val="105"/>
          <w:sz w:val="18"/>
          <w:szCs w:val="18"/>
          <w:lang w:val="fr-FR"/>
        </w:rPr>
        <w:t>4.</w:t>
      </w:r>
      <w:r w:rsidR="003B127D" w:rsidRPr="00E55DEF">
        <w:rPr>
          <w:rFonts w:asciiTheme="minorHAnsi" w:hAnsiTheme="minorHAnsi" w:cstheme="minorHAnsi"/>
          <w:w w:val="105"/>
          <w:sz w:val="18"/>
          <w:szCs w:val="18"/>
          <w:lang w:val="fr-FR"/>
        </w:rPr>
        <w:t xml:space="preserve"> </w:t>
      </w:r>
      <w:r w:rsidR="00AF752D" w:rsidRPr="00E55DEF">
        <w:rPr>
          <w:rFonts w:asciiTheme="minorHAnsi" w:hAnsiTheme="minorHAnsi" w:cstheme="minorHAnsi"/>
          <w:w w:val="105"/>
          <w:sz w:val="18"/>
          <w:szCs w:val="18"/>
          <w:lang w:val="fr-FR"/>
        </w:rPr>
        <w:t xml:space="preserve">Laboratoire TRACES, Université Toulouse Jean Jaurès, </w:t>
      </w:r>
      <w:r w:rsidR="00BE7658" w:rsidRPr="00E55DEF">
        <w:rPr>
          <w:rFonts w:asciiTheme="minorHAnsi" w:hAnsiTheme="minorHAnsi" w:cstheme="minorHAnsi"/>
          <w:w w:val="105"/>
          <w:sz w:val="18"/>
          <w:szCs w:val="18"/>
          <w:lang w:val="fr-FR"/>
        </w:rPr>
        <w:t>France</w:t>
      </w:r>
    </w:p>
    <w:p w14:paraId="60A1E89D" w14:textId="226F2CDA" w:rsidR="00BE7658" w:rsidRPr="00E55DEF" w:rsidRDefault="00BE7658" w:rsidP="00AF752D">
      <w:pPr>
        <w:ind w:left="284" w:hanging="142"/>
        <w:rPr>
          <w:rFonts w:asciiTheme="minorHAnsi" w:hAnsiTheme="minorHAnsi" w:cstheme="minorHAnsi"/>
          <w:w w:val="105"/>
          <w:sz w:val="18"/>
          <w:szCs w:val="18"/>
        </w:rPr>
      </w:pPr>
      <w:r w:rsidRPr="00E55DEF">
        <w:rPr>
          <w:rFonts w:asciiTheme="minorHAnsi" w:hAnsiTheme="minorHAnsi" w:cstheme="minorHAnsi"/>
          <w:w w:val="105"/>
          <w:sz w:val="18"/>
          <w:szCs w:val="18"/>
        </w:rPr>
        <w:t>5. Research Institute on Archaeological Materials-Centre of Research on Physics Applied to Archaeology (IRAMAT-CRP2A), CNRS-UMR 5060, University Bordeaux-Montaigne, Esplanade des Antilles, F-33607 Pessac Cedex, France</w:t>
      </w:r>
    </w:p>
    <w:p w14:paraId="1E186623" w14:textId="0DEEA87D" w:rsidR="00BE7658" w:rsidRPr="00E55DEF" w:rsidRDefault="00BE7658" w:rsidP="00AF752D">
      <w:pPr>
        <w:ind w:left="284" w:hanging="142"/>
        <w:rPr>
          <w:rFonts w:asciiTheme="minorHAnsi" w:hAnsiTheme="minorHAnsi" w:cstheme="minorHAnsi"/>
          <w:w w:val="105"/>
          <w:sz w:val="18"/>
          <w:szCs w:val="18"/>
          <w:lang w:val="fr-FR"/>
        </w:rPr>
      </w:pPr>
      <w:r w:rsidRPr="00E55DEF">
        <w:rPr>
          <w:rFonts w:asciiTheme="minorHAnsi" w:hAnsiTheme="minorHAnsi" w:cstheme="minorHAnsi"/>
          <w:w w:val="105"/>
          <w:sz w:val="18"/>
          <w:szCs w:val="18"/>
          <w:lang w:val="fr-FR"/>
        </w:rPr>
        <w:t>6. Laboratory Archeorient, CNRS-UMR 5133, Maison de L’Orient et de La Mediterranee, University of Lyon II, 7 Rue Raulin, 69007 Lyon, France</w:t>
      </w:r>
    </w:p>
    <w:p w14:paraId="3613CBE7" w14:textId="26FAD20E" w:rsidR="00BE7658" w:rsidRPr="00E55DEF" w:rsidRDefault="00BE7658" w:rsidP="00AF752D">
      <w:pPr>
        <w:ind w:left="284" w:hanging="142"/>
        <w:rPr>
          <w:rFonts w:asciiTheme="minorHAnsi" w:hAnsiTheme="minorHAnsi" w:cstheme="minorHAnsi"/>
          <w:w w:val="105"/>
          <w:sz w:val="18"/>
          <w:szCs w:val="18"/>
        </w:rPr>
      </w:pPr>
      <w:r w:rsidRPr="00E55DEF">
        <w:rPr>
          <w:rFonts w:asciiTheme="minorHAnsi" w:hAnsiTheme="minorHAnsi" w:cstheme="minorHAnsi"/>
          <w:w w:val="105"/>
          <w:sz w:val="18"/>
          <w:szCs w:val="18"/>
        </w:rPr>
        <w:t>7. Laboratory of Physical Geography (LGP), CNRS-UMR 8591, Department of Geography, University Paris-Est Creteil, 1 Place Aristide Briand, 920195 Meudon, France</w:t>
      </w:r>
    </w:p>
    <w:p w14:paraId="0C619245" w14:textId="77777777" w:rsidR="00611106" w:rsidRPr="00BE7658" w:rsidRDefault="00611106" w:rsidP="00611106">
      <w:pPr>
        <w:pStyle w:val="Corpsdetexte"/>
        <w:spacing w:before="3"/>
        <w:rPr>
          <w:rFonts w:asciiTheme="minorHAnsi" w:hAnsiTheme="minorHAnsi" w:cstheme="minorHAnsi"/>
          <w:b w:val="0"/>
          <w:i w:val="0"/>
          <w:sz w:val="23"/>
        </w:rPr>
      </w:pPr>
    </w:p>
    <w:p w14:paraId="2ACCC421" w14:textId="4DF75291" w:rsidR="008775DB" w:rsidRPr="002928EF" w:rsidRDefault="00611106" w:rsidP="002928EF">
      <w:pPr>
        <w:pStyle w:val="Corpsdetexte"/>
        <w:ind w:left="120"/>
        <w:rPr>
          <w:rFonts w:asciiTheme="minorHAnsi" w:hAnsiTheme="minorHAnsi" w:cstheme="minorHAnsi"/>
          <w:lang w:val="en-GB"/>
        </w:rPr>
      </w:pPr>
      <w:r w:rsidRPr="00611106">
        <w:rPr>
          <w:rFonts w:asciiTheme="minorHAnsi" w:hAnsiTheme="minorHAnsi" w:cstheme="minorHAnsi"/>
          <w:w w:val="105"/>
          <w:lang w:val="en-GB"/>
        </w:rPr>
        <w:t xml:space="preserve">E-mail address of presenter </w:t>
      </w:r>
      <w:r w:rsidR="008775DB" w:rsidRPr="00E55DEF">
        <w:rPr>
          <w:rStyle w:val="Lienhypertexte"/>
          <w:rFonts w:asciiTheme="minorHAnsi" w:hAnsiTheme="minorHAnsi" w:cstheme="minorHAnsi"/>
          <w:color w:val="auto"/>
          <w:w w:val="105"/>
          <w:sz w:val="18"/>
          <w:szCs w:val="18"/>
          <w:u w:val="none"/>
        </w:rPr>
        <w:t>*</w:t>
      </w:r>
      <w:r w:rsidR="008775DB" w:rsidRPr="00E55DEF">
        <w:rPr>
          <w:rFonts w:asciiTheme="minorHAnsi" w:hAnsiTheme="minorHAnsi" w:cstheme="minorHAnsi"/>
          <w:w w:val="105"/>
          <w:sz w:val="18"/>
          <w:szCs w:val="18"/>
        </w:rPr>
        <w:t xml:space="preserve"> </w:t>
      </w:r>
      <w:hyperlink r:id="rId7" w:history="1">
        <w:r w:rsidR="008775DB" w:rsidRPr="00E55DEF">
          <w:rPr>
            <w:rStyle w:val="Lienhypertexte"/>
            <w:rFonts w:asciiTheme="minorHAnsi" w:hAnsiTheme="minorHAnsi" w:cstheme="minorHAnsi"/>
            <w:w w:val="105"/>
            <w:sz w:val="18"/>
            <w:szCs w:val="18"/>
            <w:lang w:val="en-GB"/>
          </w:rPr>
          <w:t>viola.schmid@uni-tuebingen.de</w:t>
        </w:r>
      </w:hyperlink>
    </w:p>
    <w:p w14:paraId="6B8D1AE5" w14:textId="5A23B316" w:rsidR="00611106" w:rsidRPr="00611106" w:rsidRDefault="00611106" w:rsidP="00611106">
      <w:pPr>
        <w:pStyle w:val="Corpsdetexte"/>
        <w:rPr>
          <w:rFonts w:asciiTheme="minorHAnsi" w:hAnsiTheme="minorHAnsi" w:cstheme="minorHAnsi"/>
          <w:sz w:val="24"/>
          <w:lang w:val="en-GB"/>
        </w:rPr>
      </w:pPr>
    </w:p>
    <w:p w14:paraId="5600DBFE" w14:textId="77777777" w:rsidR="00E55DEF" w:rsidRPr="00E55DEF" w:rsidRDefault="00E55DEF" w:rsidP="00E55DEF">
      <w:pPr>
        <w:spacing w:after="120" w:line="276" w:lineRule="auto"/>
        <w:jc w:val="both"/>
        <w:rPr>
          <w:rFonts w:asciiTheme="minorHAnsi" w:hAnsiTheme="minorHAnsi" w:cstheme="minorHAnsi"/>
          <w:sz w:val="20"/>
          <w:szCs w:val="20"/>
          <w:lang w:val="en-GB"/>
        </w:rPr>
      </w:pPr>
      <w:r w:rsidRPr="00E55DEF">
        <w:rPr>
          <w:rFonts w:asciiTheme="minorHAnsi" w:hAnsiTheme="minorHAnsi" w:cstheme="minorHAnsi"/>
          <w:sz w:val="20"/>
          <w:szCs w:val="20"/>
          <w:lang w:val="en-GB"/>
        </w:rPr>
        <w:t>The West African Middle Stone Age (MSA) holds a crucial role with respect to the evolution of humankind. In the last decades, the increasing wealth of new data, especially from research conducted in Mali and Senegal, allowed to overcome the neglect of West Africa in the discussion on cultural developments and human dispersals in Africa. The site of Toumboura III encompasses an occupation dated to 33 ka, shedding light on an unprecedented cultural expression of the MIS3 MSA, adding to the variability already suggested for the late MSA in this region.</w:t>
      </w:r>
    </w:p>
    <w:p w14:paraId="7A047A88" w14:textId="01028170" w:rsidR="00E55DEF" w:rsidRPr="00A60653" w:rsidRDefault="00E55DEF" w:rsidP="00E55DEF">
      <w:pPr>
        <w:spacing w:line="276" w:lineRule="auto"/>
        <w:jc w:val="both"/>
        <w:rPr>
          <w:rFonts w:asciiTheme="minorHAnsi" w:hAnsiTheme="minorHAnsi" w:cstheme="minorHAnsi"/>
          <w:sz w:val="20"/>
          <w:szCs w:val="20"/>
          <w:lang w:val="en-GB" w:eastAsia="de-DE"/>
        </w:rPr>
      </w:pPr>
      <w:r w:rsidRPr="00E55DEF">
        <w:rPr>
          <w:rFonts w:asciiTheme="minorHAnsi" w:hAnsiTheme="minorHAnsi" w:cstheme="minorHAnsi"/>
          <w:sz w:val="20"/>
          <w:szCs w:val="20"/>
          <w:lang w:val="en-GB" w:eastAsia="de-DE"/>
        </w:rPr>
        <w:t xml:space="preserve">Our combined studies on the lithics and the ochres led to point out the behavioural repertoire of Toumboura III. First, we performed a technological analysis of the lithic components following the </w:t>
      </w:r>
      <w:r w:rsidRPr="00E55DEF">
        <w:rPr>
          <w:rFonts w:asciiTheme="minorHAnsi" w:hAnsiTheme="minorHAnsi" w:cstheme="minorHAnsi"/>
          <w:i/>
          <w:iCs/>
          <w:sz w:val="20"/>
          <w:szCs w:val="20"/>
          <w:lang w:val="en-GB" w:eastAsia="de-DE"/>
        </w:rPr>
        <w:t>chaîne opératoire</w:t>
      </w:r>
      <w:r w:rsidRPr="00E55DEF">
        <w:rPr>
          <w:rFonts w:asciiTheme="minorHAnsi" w:hAnsiTheme="minorHAnsi" w:cstheme="minorHAnsi"/>
          <w:sz w:val="20"/>
          <w:szCs w:val="20"/>
          <w:lang w:val="en-GB" w:eastAsia="de-DE"/>
        </w:rPr>
        <w:t xml:space="preserve"> approach. The lithic assemblage features a prevalence of bifacial shaping involving the production of different tool types such as standardised small bifacial points employing </w:t>
      </w:r>
      <w:r w:rsidRPr="00E55DEF">
        <w:rPr>
          <w:rFonts w:asciiTheme="minorHAnsi" w:hAnsiTheme="minorHAnsi" w:cstheme="minorHAnsi"/>
          <w:color w:val="000000"/>
          <w:sz w:val="20"/>
          <w:szCs w:val="20"/>
          <w:lang w:val="en-GB"/>
        </w:rPr>
        <w:t xml:space="preserve">pressure flaking. Secondly, </w:t>
      </w:r>
      <w:r w:rsidRPr="00E55DEF">
        <w:rPr>
          <w:rFonts w:asciiTheme="minorHAnsi" w:hAnsiTheme="minorHAnsi" w:cstheme="minorHAnsi"/>
          <w:sz w:val="20"/>
          <w:szCs w:val="20"/>
          <w:lang w:val="en-GB" w:eastAsia="de-DE"/>
        </w:rPr>
        <w:t>the technological and mineralogical analyses of ochre lumps</w:t>
      </w:r>
      <w:r w:rsidRPr="00E55DEF">
        <w:rPr>
          <w:rFonts w:asciiTheme="minorHAnsi" w:hAnsiTheme="minorHAnsi" w:cstheme="minorHAnsi"/>
          <w:color w:val="000000"/>
          <w:sz w:val="20"/>
          <w:szCs w:val="20"/>
          <w:lang w:val="en-GB"/>
        </w:rPr>
        <w:t xml:space="preserve"> also showed that part of the ochre pieces shows clear percussion marks.</w:t>
      </w:r>
      <w:r w:rsidRPr="00E55DEF">
        <w:rPr>
          <w:sz w:val="20"/>
          <w:szCs w:val="20"/>
        </w:rPr>
        <w:t xml:space="preserve"> </w:t>
      </w:r>
      <w:r w:rsidRPr="00E55DEF">
        <w:rPr>
          <w:rFonts w:asciiTheme="minorHAnsi" w:hAnsiTheme="minorHAnsi" w:cstheme="minorHAnsi"/>
          <w:color w:val="000000"/>
          <w:sz w:val="20"/>
          <w:szCs w:val="20"/>
          <w:lang w:val="en-GB"/>
        </w:rPr>
        <w:t xml:space="preserve">The iron content identified in the ochres is compatible with that of pigments, or with the haematites used in ethnographic contexts. </w:t>
      </w:r>
      <w:r w:rsidRPr="00E55DEF">
        <w:rPr>
          <w:rFonts w:asciiTheme="minorHAnsi" w:hAnsiTheme="minorHAnsi" w:cstheme="minorHAnsi"/>
          <w:sz w:val="20"/>
          <w:szCs w:val="20"/>
          <w:lang w:val="en-GB" w:eastAsia="de-DE"/>
        </w:rPr>
        <w:t xml:space="preserve">In addition to providing data on a poorly documented period of West African MSA, Toumboura III has demonstrated technological and perhaps symbolic behaviours that are entirely new in the region. By revealing the appearance of innovations and technological particularities, these results on the techno-cultural dynamics in the MSA of MIS3 within West Africa contributes to </w:t>
      </w:r>
      <w:r w:rsidRPr="00E55DEF">
        <w:rPr>
          <w:rFonts w:asciiTheme="minorHAnsi" w:hAnsiTheme="minorHAnsi" w:cstheme="minorHAnsi"/>
          <w:sz w:val="20"/>
          <w:szCs w:val="20"/>
          <w:lang w:val="en-GB"/>
        </w:rPr>
        <w:t>the current scientific effort to enhance the knowledge on the complex Pleistocene population history in this part of Africa.</w:t>
      </w:r>
    </w:p>
    <w:p w14:paraId="6DBDE820" w14:textId="77777777" w:rsidR="00611106" w:rsidRPr="00B610EF" w:rsidRDefault="00611106" w:rsidP="00611106">
      <w:pPr>
        <w:pStyle w:val="Corpsdetexte"/>
        <w:ind w:firstLine="119"/>
        <w:rPr>
          <w:rFonts w:asciiTheme="minorHAnsi" w:hAnsiTheme="minorHAnsi" w:cstheme="minorHAnsi"/>
          <w:w w:val="105"/>
          <w:lang w:val="en-GB"/>
        </w:rPr>
      </w:pPr>
    </w:p>
    <w:p w14:paraId="39FE41A6" w14:textId="136216A6" w:rsidR="00E55DEF" w:rsidRPr="00B610EF" w:rsidRDefault="00611106" w:rsidP="002928EF">
      <w:pPr>
        <w:pStyle w:val="Corpsdetexte"/>
        <w:ind w:firstLine="119"/>
        <w:rPr>
          <w:rFonts w:asciiTheme="minorHAnsi" w:hAnsiTheme="minorHAnsi" w:cstheme="minorHAnsi"/>
          <w:w w:val="105"/>
          <w:lang w:val="en-GB"/>
        </w:rPr>
      </w:pPr>
      <w:r w:rsidRPr="00B610EF">
        <w:rPr>
          <w:rFonts w:asciiTheme="minorHAnsi" w:hAnsiTheme="minorHAnsi" w:cstheme="minorHAnsi"/>
          <w:w w:val="105"/>
          <w:lang w:val="en-GB"/>
        </w:rPr>
        <w:t>Keywords</w:t>
      </w:r>
    </w:p>
    <w:p w14:paraId="1EFA4F7C" w14:textId="22F73D52" w:rsidR="00351690" w:rsidRPr="00E55DEF" w:rsidRDefault="00C15275" w:rsidP="00E55DEF">
      <w:pPr>
        <w:pStyle w:val="Corpsdetexte"/>
        <w:ind w:left="119"/>
        <w:rPr>
          <w:rFonts w:asciiTheme="minorHAnsi" w:hAnsiTheme="minorHAnsi" w:cstheme="minorHAnsi"/>
          <w:b w:val="0"/>
          <w:bCs w:val="0"/>
          <w:i w:val="0"/>
          <w:iCs/>
          <w:sz w:val="20"/>
          <w:szCs w:val="20"/>
          <w:lang w:val="en-GB"/>
        </w:rPr>
      </w:pPr>
      <w:r>
        <w:rPr>
          <w:rFonts w:asciiTheme="minorHAnsi" w:hAnsiTheme="minorHAnsi" w:cstheme="minorHAnsi"/>
          <w:b w:val="0"/>
          <w:bCs w:val="0"/>
          <w:i w:val="0"/>
          <w:iCs/>
          <w:sz w:val="20"/>
          <w:szCs w:val="20"/>
          <w:lang w:val="en-GB"/>
        </w:rPr>
        <w:t>West Africa; MSA; MIS3; bifacial technology;</w:t>
      </w:r>
      <w:r w:rsidR="00611106" w:rsidRPr="00E55DEF">
        <w:rPr>
          <w:rFonts w:asciiTheme="minorHAnsi" w:hAnsiTheme="minorHAnsi" w:cstheme="minorHAnsi"/>
          <w:b w:val="0"/>
          <w:bCs w:val="0"/>
          <w:i w:val="0"/>
          <w:iCs/>
          <w:sz w:val="20"/>
          <w:szCs w:val="20"/>
          <w:lang w:val="en-GB"/>
        </w:rPr>
        <w:t xml:space="preserve"> </w:t>
      </w:r>
      <w:r>
        <w:rPr>
          <w:rFonts w:asciiTheme="minorHAnsi" w:hAnsiTheme="minorHAnsi" w:cstheme="minorHAnsi"/>
          <w:b w:val="0"/>
          <w:bCs w:val="0"/>
          <w:i w:val="0"/>
          <w:iCs/>
          <w:sz w:val="20"/>
          <w:szCs w:val="20"/>
          <w:lang w:val="en-GB"/>
        </w:rPr>
        <w:t>pressure technique;</w:t>
      </w:r>
      <w:r w:rsidR="00351690" w:rsidRPr="00E55DEF">
        <w:rPr>
          <w:rFonts w:asciiTheme="minorHAnsi" w:hAnsiTheme="minorHAnsi" w:cstheme="minorHAnsi"/>
          <w:b w:val="0"/>
          <w:bCs w:val="0"/>
          <w:i w:val="0"/>
          <w:iCs/>
          <w:sz w:val="20"/>
          <w:szCs w:val="20"/>
          <w:lang w:val="en-GB"/>
        </w:rPr>
        <w:t xml:space="preserve"> </w:t>
      </w:r>
      <w:r w:rsidR="00AF752D" w:rsidRPr="00E55DEF">
        <w:rPr>
          <w:rFonts w:asciiTheme="minorHAnsi" w:hAnsiTheme="minorHAnsi" w:cstheme="minorHAnsi"/>
          <w:b w:val="0"/>
          <w:bCs w:val="0"/>
          <w:i w:val="0"/>
          <w:iCs/>
          <w:sz w:val="20"/>
          <w:szCs w:val="20"/>
          <w:lang w:val="en-GB"/>
        </w:rPr>
        <w:t>ochre use</w:t>
      </w:r>
      <w:r>
        <w:rPr>
          <w:rFonts w:asciiTheme="minorHAnsi" w:hAnsiTheme="minorHAnsi" w:cstheme="minorHAnsi"/>
          <w:b w:val="0"/>
          <w:bCs w:val="0"/>
          <w:i w:val="0"/>
          <w:iCs/>
          <w:sz w:val="20"/>
          <w:szCs w:val="20"/>
          <w:lang w:val="en-GB"/>
        </w:rPr>
        <w:t>;</w:t>
      </w:r>
      <w:r w:rsidR="00351690" w:rsidRPr="00E55DEF">
        <w:rPr>
          <w:rFonts w:asciiTheme="minorHAnsi" w:hAnsiTheme="minorHAnsi" w:cstheme="minorHAnsi"/>
          <w:b w:val="0"/>
          <w:bCs w:val="0"/>
          <w:i w:val="0"/>
          <w:iCs/>
          <w:sz w:val="20"/>
          <w:szCs w:val="20"/>
          <w:lang w:val="en-GB"/>
        </w:rPr>
        <w:t xml:space="preserve"> cultural change </w:t>
      </w:r>
    </w:p>
    <w:sectPr w:rsidR="00351690" w:rsidRPr="00E55DEF" w:rsidSect="00922C8A">
      <w:pgSz w:w="11900" w:h="16840"/>
      <w:pgMar w:top="1360" w:right="1260" w:bottom="851"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5FC0D" w14:textId="77777777" w:rsidR="0041012C" w:rsidRDefault="0041012C" w:rsidP="00922C8A">
      <w:r>
        <w:separator/>
      </w:r>
    </w:p>
  </w:endnote>
  <w:endnote w:type="continuationSeparator" w:id="0">
    <w:p w14:paraId="5DCC7E2B" w14:textId="77777777" w:rsidR="0041012C" w:rsidRDefault="0041012C" w:rsidP="0092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50C39" w14:textId="77777777" w:rsidR="0041012C" w:rsidRDefault="0041012C" w:rsidP="00922C8A">
      <w:r>
        <w:separator/>
      </w:r>
    </w:p>
  </w:footnote>
  <w:footnote w:type="continuationSeparator" w:id="0">
    <w:p w14:paraId="5C7296F1" w14:textId="77777777" w:rsidR="0041012C" w:rsidRDefault="0041012C" w:rsidP="00922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31353"/>
    <w:multiLevelType w:val="hybridMultilevel"/>
    <w:tmpl w:val="7EE21FBC"/>
    <w:lvl w:ilvl="0" w:tplc="0407000F">
      <w:start w:val="1"/>
      <w:numFmt w:val="decimal"/>
      <w:lvlText w:val="%1."/>
      <w:lvlJc w:val="left"/>
      <w:pPr>
        <w:ind w:left="840" w:hanging="360"/>
      </w:p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1">
    <w:nsid w:val="33FB646D"/>
    <w:multiLevelType w:val="hybridMultilevel"/>
    <w:tmpl w:val="FE4686D6"/>
    <w:lvl w:ilvl="0" w:tplc="8AFEBF78">
      <w:start w:val="5"/>
      <w:numFmt w:val="bullet"/>
      <w:lvlText w:val=""/>
      <w:lvlJc w:val="left"/>
      <w:pPr>
        <w:ind w:left="480" w:hanging="360"/>
      </w:pPr>
      <w:rPr>
        <w:rFonts w:ascii="Symbol" w:eastAsia="Times New Roman" w:hAnsi="Symbol" w:cstheme="minorHAnsi" w:hint="default"/>
        <w:w w:val="105"/>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2">
    <w:nsid w:val="6680062F"/>
    <w:multiLevelType w:val="hybridMultilevel"/>
    <w:tmpl w:val="C2248D30"/>
    <w:lvl w:ilvl="0" w:tplc="3B78E0EE">
      <w:start w:val="5"/>
      <w:numFmt w:val="bullet"/>
      <w:lvlText w:val=""/>
      <w:lvlJc w:val="left"/>
      <w:pPr>
        <w:ind w:left="479" w:hanging="360"/>
      </w:pPr>
      <w:rPr>
        <w:rFonts w:ascii="Symbol" w:eastAsia="Times New Roman" w:hAnsi="Symbol" w:cstheme="minorHAnsi" w:hint="default"/>
        <w:color w:val="0563C1" w:themeColor="hyperlink"/>
        <w:u w:val="single"/>
      </w:rPr>
    </w:lvl>
    <w:lvl w:ilvl="1" w:tplc="04070003" w:tentative="1">
      <w:start w:val="1"/>
      <w:numFmt w:val="bullet"/>
      <w:lvlText w:val="o"/>
      <w:lvlJc w:val="left"/>
      <w:pPr>
        <w:ind w:left="1199" w:hanging="360"/>
      </w:pPr>
      <w:rPr>
        <w:rFonts w:ascii="Courier New" w:hAnsi="Courier New" w:cs="Courier New" w:hint="default"/>
      </w:rPr>
    </w:lvl>
    <w:lvl w:ilvl="2" w:tplc="04070005" w:tentative="1">
      <w:start w:val="1"/>
      <w:numFmt w:val="bullet"/>
      <w:lvlText w:val=""/>
      <w:lvlJc w:val="left"/>
      <w:pPr>
        <w:ind w:left="1919" w:hanging="360"/>
      </w:pPr>
      <w:rPr>
        <w:rFonts w:ascii="Wingdings" w:hAnsi="Wingdings" w:hint="default"/>
      </w:rPr>
    </w:lvl>
    <w:lvl w:ilvl="3" w:tplc="04070001" w:tentative="1">
      <w:start w:val="1"/>
      <w:numFmt w:val="bullet"/>
      <w:lvlText w:val=""/>
      <w:lvlJc w:val="left"/>
      <w:pPr>
        <w:ind w:left="2639" w:hanging="360"/>
      </w:pPr>
      <w:rPr>
        <w:rFonts w:ascii="Symbol" w:hAnsi="Symbol" w:hint="default"/>
      </w:rPr>
    </w:lvl>
    <w:lvl w:ilvl="4" w:tplc="04070003" w:tentative="1">
      <w:start w:val="1"/>
      <w:numFmt w:val="bullet"/>
      <w:lvlText w:val="o"/>
      <w:lvlJc w:val="left"/>
      <w:pPr>
        <w:ind w:left="3359" w:hanging="360"/>
      </w:pPr>
      <w:rPr>
        <w:rFonts w:ascii="Courier New" w:hAnsi="Courier New" w:cs="Courier New" w:hint="default"/>
      </w:rPr>
    </w:lvl>
    <w:lvl w:ilvl="5" w:tplc="04070005" w:tentative="1">
      <w:start w:val="1"/>
      <w:numFmt w:val="bullet"/>
      <w:lvlText w:val=""/>
      <w:lvlJc w:val="left"/>
      <w:pPr>
        <w:ind w:left="4079" w:hanging="360"/>
      </w:pPr>
      <w:rPr>
        <w:rFonts w:ascii="Wingdings" w:hAnsi="Wingdings" w:hint="default"/>
      </w:rPr>
    </w:lvl>
    <w:lvl w:ilvl="6" w:tplc="04070001" w:tentative="1">
      <w:start w:val="1"/>
      <w:numFmt w:val="bullet"/>
      <w:lvlText w:val=""/>
      <w:lvlJc w:val="left"/>
      <w:pPr>
        <w:ind w:left="4799" w:hanging="360"/>
      </w:pPr>
      <w:rPr>
        <w:rFonts w:ascii="Symbol" w:hAnsi="Symbol" w:hint="default"/>
      </w:rPr>
    </w:lvl>
    <w:lvl w:ilvl="7" w:tplc="04070003" w:tentative="1">
      <w:start w:val="1"/>
      <w:numFmt w:val="bullet"/>
      <w:lvlText w:val="o"/>
      <w:lvlJc w:val="left"/>
      <w:pPr>
        <w:ind w:left="5519" w:hanging="360"/>
      </w:pPr>
      <w:rPr>
        <w:rFonts w:ascii="Courier New" w:hAnsi="Courier New" w:cs="Courier New" w:hint="default"/>
      </w:rPr>
    </w:lvl>
    <w:lvl w:ilvl="8" w:tplc="04070005" w:tentative="1">
      <w:start w:val="1"/>
      <w:numFmt w:val="bullet"/>
      <w:lvlText w:val=""/>
      <w:lvlJc w:val="left"/>
      <w:pPr>
        <w:ind w:left="623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06"/>
    <w:rsid w:val="00094591"/>
    <w:rsid w:val="0010098E"/>
    <w:rsid w:val="002928EF"/>
    <w:rsid w:val="00351690"/>
    <w:rsid w:val="00380373"/>
    <w:rsid w:val="003A4CA9"/>
    <w:rsid w:val="003B127D"/>
    <w:rsid w:val="0041012C"/>
    <w:rsid w:val="00470F87"/>
    <w:rsid w:val="004A05EC"/>
    <w:rsid w:val="005543A7"/>
    <w:rsid w:val="005C27DD"/>
    <w:rsid w:val="00611106"/>
    <w:rsid w:val="00663770"/>
    <w:rsid w:val="008212F3"/>
    <w:rsid w:val="008775DB"/>
    <w:rsid w:val="00922C8A"/>
    <w:rsid w:val="00A4710E"/>
    <w:rsid w:val="00A56145"/>
    <w:rsid w:val="00A60653"/>
    <w:rsid w:val="00AF752D"/>
    <w:rsid w:val="00B610EF"/>
    <w:rsid w:val="00BB6DA5"/>
    <w:rsid w:val="00BE7658"/>
    <w:rsid w:val="00C15275"/>
    <w:rsid w:val="00C86320"/>
    <w:rsid w:val="00CC1B38"/>
    <w:rsid w:val="00D209EB"/>
    <w:rsid w:val="00E55DEF"/>
    <w:rsid w:val="00F53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6C202"/>
  <w15:chartTrackingRefBased/>
  <w15:docId w15:val="{F448E65A-1573-403B-A9C3-E3F709D9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1106"/>
    <w:pPr>
      <w:widowControl w:val="0"/>
      <w:autoSpaceDE w:val="0"/>
      <w:autoSpaceDN w:val="0"/>
      <w:spacing w:after="0" w:line="240" w:lineRule="auto"/>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11106"/>
    <w:rPr>
      <w:b/>
      <w:bCs/>
      <w:i/>
      <w:sz w:val="21"/>
      <w:szCs w:val="21"/>
    </w:rPr>
  </w:style>
  <w:style w:type="character" w:customStyle="1" w:styleId="CorpsdetexteCar">
    <w:name w:val="Corps de texte Car"/>
    <w:basedOn w:val="Policepardfaut"/>
    <w:link w:val="Corpsdetexte"/>
    <w:uiPriority w:val="1"/>
    <w:rsid w:val="00611106"/>
    <w:rPr>
      <w:rFonts w:ascii="Times New Roman" w:eastAsia="Times New Roman" w:hAnsi="Times New Roman" w:cs="Times New Roman"/>
      <w:b/>
      <w:bCs/>
      <w:i/>
      <w:sz w:val="21"/>
      <w:szCs w:val="21"/>
      <w:lang w:val="en-US"/>
    </w:rPr>
  </w:style>
  <w:style w:type="character" w:styleId="Lienhypertexte">
    <w:name w:val="Hyperlink"/>
    <w:basedOn w:val="Policepardfaut"/>
    <w:uiPriority w:val="99"/>
    <w:unhideWhenUsed/>
    <w:rsid w:val="008775DB"/>
    <w:rPr>
      <w:color w:val="0563C1" w:themeColor="hyperlink"/>
      <w:u w:val="single"/>
    </w:rPr>
  </w:style>
  <w:style w:type="character" w:customStyle="1" w:styleId="NichtaufgelsteErwhnung1">
    <w:name w:val="Nicht aufgelöste Erwähnung1"/>
    <w:basedOn w:val="Policepardfaut"/>
    <w:uiPriority w:val="99"/>
    <w:semiHidden/>
    <w:unhideWhenUsed/>
    <w:rsid w:val="008775DB"/>
    <w:rPr>
      <w:color w:val="605E5C"/>
      <w:shd w:val="clear" w:color="auto" w:fill="E1DFDD"/>
    </w:rPr>
  </w:style>
  <w:style w:type="paragraph" w:styleId="En-tte">
    <w:name w:val="header"/>
    <w:basedOn w:val="Normal"/>
    <w:link w:val="En-tteCar"/>
    <w:uiPriority w:val="99"/>
    <w:unhideWhenUsed/>
    <w:rsid w:val="00922C8A"/>
    <w:pPr>
      <w:tabs>
        <w:tab w:val="center" w:pos="4536"/>
        <w:tab w:val="right" w:pos="9072"/>
      </w:tabs>
    </w:pPr>
  </w:style>
  <w:style w:type="character" w:customStyle="1" w:styleId="En-tteCar">
    <w:name w:val="En-tête Car"/>
    <w:basedOn w:val="Policepardfaut"/>
    <w:link w:val="En-tte"/>
    <w:uiPriority w:val="99"/>
    <w:rsid w:val="00922C8A"/>
    <w:rPr>
      <w:rFonts w:ascii="Times New Roman" w:eastAsia="Times New Roman" w:hAnsi="Times New Roman" w:cs="Times New Roman"/>
      <w:lang w:val="en-US"/>
    </w:rPr>
  </w:style>
  <w:style w:type="paragraph" w:styleId="Pieddepage">
    <w:name w:val="footer"/>
    <w:basedOn w:val="Normal"/>
    <w:link w:val="PieddepageCar"/>
    <w:uiPriority w:val="99"/>
    <w:unhideWhenUsed/>
    <w:rsid w:val="00922C8A"/>
    <w:pPr>
      <w:tabs>
        <w:tab w:val="center" w:pos="4536"/>
        <w:tab w:val="right" w:pos="9072"/>
      </w:tabs>
    </w:pPr>
  </w:style>
  <w:style w:type="character" w:customStyle="1" w:styleId="PieddepageCar">
    <w:name w:val="Pied de page Car"/>
    <w:basedOn w:val="Policepardfaut"/>
    <w:link w:val="Pieddepage"/>
    <w:uiPriority w:val="99"/>
    <w:rsid w:val="00922C8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51335">
      <w:bodyDiv w:val="1"/>
      <w:marLeft w:val="0"/>
      <w:marRight w:val="0"/>
      <w:marTop w:val="0"/>
      <w:marBottom w:val="0"/>
      <w:divBdr>
        <w:top w:val="none" w:sz="0" w:space="0" w:color="auto"/>
        <w:left w:val="none" w:sz="0" w:space="0" w:color="auto"/>
        <w:bottom w:val="none" w:sz="0" w:space="0" w:color="auto"/>
        <w:right w:val="none" w:sz="0" w:space="0" w:color="auto"/>
      </w:divBdr>
      <w:divsChild>
        <w:div w:id="1609892393">
          <w:marLeft w:val="0"/>
          <w:marRight w:val="0"/>
          <w:marTop w:val="0"/>
          <w:marBottom w:val="0"/>
          <w:divBdr>
            <w:top w:val="none" w:sz="0" w:space="0" w:color="auto"/>
            <w:left w:val="none" w:sz="0" w:space="0" w:color="auto"/>
            <w:bottom w:val="none" w:sz="0" w:space="0" w:color="auto"/>
            <w:right w:val="none" w:sz="0" w:space="0" w:color="auto"/>
          </w:divBdr>
        </w:div>
        <w:div w:id="1441028208">
          <w:marLeft w:val="0"/>
          <w:marRight w:val="0"/>
          <w:marTop w:val="0"/>
          <w:marBottom w:val="0"/>
          <w:divBdr>
            <w:top w:val="none" w:sz="0" w:space="0" w:color="auto"/>
            <w:left w:val="none" w:sz="0" w:space="0" w:color="auto"/>
            <w:bottom w:val="none" w:sz="0" w:space="0" w:color="auto"/>
            <w:right w:val="none" w:sz="0" w:space="0" w:color="auto"/>
          </w:divBdr>
        </w:div>
        <w:div w:id="1905866710">
          <w:marLeft w:val="0"/>
          <w:marRight w:val="0"/>
          <w:marTop w:val="0"/>
          <w:marBottom w:val="0"/>
          <w:divBdr>
            <w:top w:val="none" w:sz="0" w:space="0" w:color="auto"/>
            <w:left w:val="none" w:sz="0" w:space="0" w:color="auto"/>
            <w:bottom w:val="none" w:sz="0" w:space="0" w:color="auto"/>
            <w:right w:val="none" w:sz="0" w:space="0" w:color="auto"/>
          </w:divBdr>
        </w:div>
        <w:div w:id="68644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ola.schmid@uni-tuebin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545</Words>
  <Characters>2998</Characters>
  <Application>Microsoft Office Word</Application>
  <DocSecurity>0</DocSecurity>
  <Lines>24</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Schmid</dc:creator>
  <cp:keywords/>
  <dc:description/>
  <cp:lastModifiedBy>hp</cp:lastModifiedBy>
  <cp:revision>4</cp:revision>
  <cp:lastPrinted>2021-05-31T13:44:00Z</cp:lastPrinted>
  <dcterms:created xsi:type="dcterms:W3CDTF">2021-05-31T20:05:00Z</dcterms:created>
  <dcterms:modified xsi:type="dcterms:W3CDTF">2021-05-31T20:40:00Z</dcterms:modified>
</cp:coreProperties>
</file>