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40" w:after="0"/>
        <w:jc w:val="center"/>
        <w:rPr/>
      </w:pPr>
      <w:r>
        <w:rPr>
          <w:rFonts w:cs="Times New Roman" w:ascii="Times New Roman" w:hAnsi="Times New Roman"/>
          <w:b/>
          <w:color w:val="auto"/>
        </w:rPr>
        <w:t xml:space="preserve">Contribution à l’étude archéométallurgique du mobilier de base cuivre du Bronze final provenant de la Cova de Can Sadurní (Begues, Baix Llobregat). Nouvelles données typologiques et de composition </w:t>
      </w:r>
    </w:p>
    <w:p>
      <w:pPr>
        <w:pStyle w:val="Normal"/>
        <w:spacing w:before="240" w:after="160"/>
        <w:jc w:val="center"/>
        <w:rPr/>
      </w:pPr>
      <w:r>
        <w:rPr>
          <w:rFonts w:cs="Times New Roman" w:ascii="Times New Roman" w:hAnsi="Times New Roman"/>
          <w:szCs w:val="20"/>
        </w:rPr>
        <w:t>Gerard Fernàndez Molina*</w:t>
      </w:r>
      <w:r>
        <w:rPr>
          <w:rFonts w:cs="Times New Roman" w:ascii="Times New Roman" w:hAnsi="Times New Roman"/>
          <w:szCs w:val="20"/>
          <w:vertAlign w:val="superscript"/>
        </w:rPr>
        <w:t>1</w:t>
      </w:r>
      <w:r>
        <w:rPr>
          <w:rFonts w:cs="Times New Roman" w:ascii="Times New Roman" w:hAnsi="Times New Roman"/>
          <w:szCs w:val="20"/>
        </w:rPr>
        <w:t>, Manuel Edo</w:t>
      </w:r>
      <w:r>
        <w:rPr>
          <w:rFonts w:cs="Times New Roman" w:ascii="Times New Roman" w:hAnsi="Times New Roman"/>
          <w:szCs w:val="20"/>
          <w:vertAlign w:val="superscript"/>
        </w:rPr>
        <w:t>2</w:t>
      </w:r>
    </w:p>
    <w:p>
      <w:pPr>
        <w:pStyle w:val="NormalWeb"/>
        <w:shd w:val="clear" w:color="auto" w:fill="FFFFFF"/>
        <w:spacing w:beforeAutospacing="0" w:before="0" w:afterAutospacing="0" w:after="0"/>
        <w:jc w:val="center"/>
        <w:rPr>
          <w:sz w:val="20"/>
          <w:szCs w:val="20"/>
        </w:rPr>
      </w:pPr>
      <w:r>
        <w:rPr>
          <w:bCs/>
          <w:sz w:val="20"/>
          <w:szCs w:val="20"/>
          <w:shd w:fill="FFFFFF" w:val="clear"/>
        </w:rPr>
        <w:t>1 SERP (</w:t>
      </w:r>
      <w:r>
        <w:rPr>
          <w:sz w:val="20"/>
          <w:szCs w:val="20"/>
        </w:rPr>
        <w:t>Seminari d’Estudis i Recerques Prehistòriques) Universitat de Barcelona, Espagne</w:t>
      </w:r>
    </w:p>
    <w:p>
      <w:pPr>
        <w:pStyle w:val="NormalWeb"/>
        <w:shd w:val="clear" w:color="auto" w:fill="FFFFFF"/>
        <w:spacing w:beforeAutospacing="0" w:before="0" w:afterAutospacing="0" w:after="0"/>
        <w:jc w:val="center"/>
        <w:rPr/>
      </w:pPr>
      <w:r>
        <w:rPr>
          <w:sz w:val="20"/>
          <w:szCs w:val="20"/>
        </w:rPr>
        <w:t>2 Cipag (Col·lectiu per la Investigació de la Prehistòria i l'Arqueologia del Garraf-Ordal), Institut d’Arqueologia (Universitat de Barcelona), Espagne</w:t>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sz w:val="22"/>
          <w:szCs w:val="22"/>
        </w:rPr>
      </w:pPr>
      <w:r>
        <w:rPr>
          <w:b/>
          <w:sz w:val="22"/>
          <w:szCs w:val="20"/>
        </w:rPr>
        <w:t>Résumé</w:t>
      </w:r>
    </w:p>
    <w:p>
      <w:pPr>
        <w:pStyle w:val="Normal"/>
        <w:spacing w:lineRule="auto" w:line="240" w:before="240" w:after="160"/>
        <w:jc w:val="both"/>
        <w:rPr/>
      </w:pPr>
      <w:r>
        <w:rPr>
          <w:rFonts w:cs="Times New Roman" w:ascii="Times New Roman" w:hAnsi="Times New Roman"/>
        </w:rPr>
        <w:t xml:space="preserve">La Cova de Can Sadurní est située dans la localité de Begues, au sud-ouest de la région du Baix Llobregat (Barcelone), et se place sur le versant sud de la chaîne montagneuse de l’Ordal, qui fait partie du complexe karstique et calcaire du Massif du Garraf. Les interventions archéologiques et la recherche sur le site ont été menées depuis 1978, et ont mis en évidence une séquence stratigraphique particulièrement complète, composée d’une consécution de 33 épisodes culturels chronologiquement différentiables, allant de l’épipaléolithique jusqu’à l’époque moderne. La présente étude offre de nouvelles données concernant la connaissance de la phase du bronze final documentée à la Cova de Can Sadurní, à partir de l’étude archéométallurgique d’une épingle à tête enroulée et deux pointes de flèche de type Mailhac. Pour ce faire, le mobilier métallique a été analysé depuis deux perspectives, d’un côté, à partir de l’étude typologique, et de l’autre, moyennant des techniques archéométriques, notamment des analyses de composition par fluorescence de rayons X (ED-XRF). Les résultats permettent d’apporter des données relatives au degré de développement technologique des sociétés productrices, ainsi que sur la mobilité et les réseaux d’approvisionnement des minéraux compris dans cette période complexe, qui se place aux portes des premiers contacts avec la sphère méditerranéenne. </w:t>
      </w:r>
    </w:p>
    <w:p>
      <w:pPr>
        <w:pStyle w:val="Heading2"/>
        <w:jc w:val="both"/>
        <w:rPr>
          <w:rFonts w:ascii="Times New Roman" w:hAnsi="Times New Roman" w:cs="Times New Roman"/>
          <w:b/>
          <w:b/>
          <w:color w:val="auto"/>
          <w:sz w:val="22"/>
          <w:szCs w:val="22"/>
        </w:rPr>
      </w:pPr>
      <w:r>
        <w:rPr>
          <w:rFonts w:cs="Times New Roman" w:ascii="Times New Roman" w:hAnsi="Times New Roman"/>
          <w:b/>
          <w:color w:val="auto"/>
          <w:sz w:val="22"/>
          <w:szCs w:val="22"/>
        </w:rPr>
        <w:t>Mots clé</w:t>
      </w:r>
    </w:p>
    <w:p>
      <w:pPr>
        <w:pStyle w:val="Normal"/>
        <w:spacing w:before="240" w:after="160"/>
        <w:jc w:val="both"/>
        <w:rPr/>
      </w:pPr>
      <w:bookmarkStart w:id="0" w:name="_GoBack"/>
      <w:bookmarkEnd w:id="0"/>
      <w:r>
        <w:rPr>
          <w:rFonts w:cs="Times New Roman" w:ascii="Times New Roman" w:hAnsi="Times New Roman"/>
        </w:rPr>
        <w:t>Bronze Final, archéométallurgie, ED-XRF, archéométrie, nord-est de la péninsule Ibérique, protohistoire</w:t>
      </w:r>
    </w:p>
    <w:p>
      <w:pPr>
        <w:pStyle w:val="Normal"/>
        <w:spacing w:before="240" w:after="160"/>
        <w:jc w:val="both"/>
        <w:rPr/>
      </w:pPr>
      <w:r>
        <w:rPr>
          <w:rFonts w:cs="Times New Roman" w:ascii="Times New Roman" w:hAnsi="Times New Roman"/>
        </w:rPr>
        <w:t>* Intervenant</w:t>
      </w:r>
    </w:p>
    <w:p>
      <w:pPr>
        <w:pStyle w:val="Normal"/>
        <w:spacing w:before="240" w:after="16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0d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2">
    <w:name w:val="Heading 2"/>
    <w:basedOn w:val="Normal"/>
    <w:next w:val="Normal"/>
    <w:link w:val="Ttol2Car"/>
    <w:uiPriority w:val="9"/>
    <w:unhideWhenUsed/>
    <w:qFormat/>
    <w:rsid w:val="007e4fb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SubttolCar" w:customStyle="1">
    <w:name w:val="Subtítol Car"/>
    <w:basedOn w:val="DefaultParagraphFont"/>
    <w:link w:val="Subttol"/>
    <w:uiPriority w:val="11"/>
    <w:qFormat/>
    <w:rsid w:val="00b700d3"/>
    <w:rPr>
      <w:rFonts w:eastAsia="" w:eastAsiaTheme="minorEastAsia"/>
      <w:color w:val="5A5A5A" w:themeColor="text1" w:themeTint="a5"/>
      <w:spacing w:val="15"/>
    </w:rPr>
  </w:style>
  <w:style w:type="character" w:styleId="PlaceholderText">
    <w:name w:val="Placeholder Text"/>
    <w:basedOn w:val="DefaultParagraphFont"/>
    <w:uiPriority w:val="99"/>
    <w:semiHidden/>
    <w:qFormat/>
    <w:rsid w:val="00b700d3"/>
    <w:rPr>
      <w:color w:val="808080"/>
    </w:rPr>
  </w:style>
  <w:style w:type="character" w:styleId="Ttol2Car" w:customStyle="1">
    <w:name w:val="Títol 2 Car"/>
    <w:basedOn w:val="DefaultParagraphFont"/>
    <w:link w:val="Ttol2"/>
    <w:uiPriority w:val="9"/>
    <w:qFormat/>
    <w:rsid w:val="007e4fb4"/>
    <w:rPr>
      <w:rFonts w:ascii="Calibri Light" w:hAnsi="Calibri Light" w:eastAsia="" w:cs="" w:asciiTheme="majorHAnsi" w:cstheme="majorBidi" w:eastAsiaTheme="majorEastAsia" w:hAnsiTheme="majorHAnsi"/>
      <w:color w:val="2E74B5" w:themeColor="accent1" w:themeShade="bf"/>
      <w:sz w:val="26"/>
      <w:szCs w:val="26"/>
    </w:rPr>
  </w:style>
  <w:style w:type="character" w:styleId="ListLabel1">
    <w:name w:val="ListLabel 1"/>
    <w:qFormat/>
    <w:rPr>
      <w:rFonts w:cs="Times New Roman"/>
      <w:sz w:val="24"/>
    </w:rPr>
  </w:style>
  <w:style w:type="character" w:styleId="ListLabel2">
    <w:name w:val="ListLabel 2"/>
    <w:qFormat/>
    <w:rPr>
      <w:rFonts w:cs="Times New Roman"/>
      <w:sz w:val="24"/>
    </w:rPr>
  </w:style>
  <w:style w:type="character" w:styleId="ListLabel3">
    <w:name w:val="ListLabel 3"/>
    <w:qFormat/>
    <w:rPr>
      <w:rFonts w:cs="Times New Roman"/>
      <w:sz w:val="24"/>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700d3"/>
    <w:pPr>
      <w:spacing w:lineRule="auto" w:line="240" w:beforeAutospacing="1" w:afterAutospacing="1"/>
    </w:pPr>
    <w:rPr>
      <w:rFonts w:ascii="Times New Roman" w:hAnsi="Times New Roman" w:eastAsia="Times New Roman" w:cs="Times New Roman"/>
      <w:sz w:val="24"/>
      <w:szCs w:val="24"/>
      <w:lang w:eastAsia="ca-ES"/>
    </w:rPr>
  </w:style>
  <w:style w:type="paragraph" w:styleId="Subtitle">
    <w:name w:val="Subtitle"/>
    <w:basedOn w:val="Normal"/>
    <w:next w:val="Normal"/>
    <w:link w:val="SubttolCar"/>
    <w:uiPriority w:val="11"/>
    <w:qFormat/>
    <w:rsid w:val="00b700d3"/>
    <w:pPr/>
    <w:rPr>
      <w:rFonts w:eastAsia="" w:eastAsiaTheme="minorEastAsia"/>
      <w:color w:val="5A5A5A" w:themeColor="text1" w:themeTint="a5"/>
      <w:spacing w:val="15"/>
    </w:rPr>
  </w:style>
  <w:style w:type="paragraph" w:styleId="ListParagraph">
    <w:name w:val="List Paragraph"/>
    <w:basedOn w:val="Normal"/>
    <w:uiPriority w:val="34"/>
    <w:qFormat/>
    <w:rsid w:val="00cc5bca"/>
    <w:pPr>
      <w:spacing w:before="0" w:after="160"/>
      <w:ind w:left="720" w:hanging="0"/>
      <w:contextualSpacing/>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LibreOffice/6.0.7.3$Linux_X86_64 LibreOffice_project/00m0$Build-3</Application>
  <Pages>1</Pages>
  <Words>285</Words>
  <Characters>1714</Characters>
  <CharactersWithSpaces>1992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2021-05-23T09:15:00Z</dcterms:created>
  <dc:creator>PC</dc:creator>
  <dc:description/>
  <dc:language>en-GB</dc:language>
  <cp:lastModifiedBy/>
  <dcterms:modified xsi:type="dcterms:W3CDTF">2021-07-31T21:52:36Z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