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pPr>
      <w:r>
        <w:rPr>
          <w:rFonts w:cs="Times New Roman" w:ascii="Times New Roman" w:hAnsi="Times New Roman"/>
          <w:b/>
          <w:color w:val="auto"/>
        </w:rPr>
        <w:t xml:space="preserve"> </w:t>
      </w:r>
      <w:r>
        <w:rPr>
          <w:rFonts w:cs="Times New Roman" w:ascii="Times New Roman" w:hAnsi="Times New Roman"/>
          <w:b/>
          <w:color w:val="auto"/>
        </w:rPr>
        <w:t>Dérive chronologique ou changement de paradigme ? Le cas du Bronze ancien en Europe centrale</w:t>
      </w:r>
    </w:p>
    <w:p>
      <w:pPr>
        <w:pStyle w:val="Normal"/>
        <w:spacing w:before="240" w:after="160"/>
        <w:jc w:val="center"/>
        <w:rPr/>
      </w:pPr>
      <w:r>
        <w:rPr>
          <w:rFonts w:eastAsia="Calibri" w:cs="Times New Roman" w:ascii="Times New Roman" w:hAnsi="Times New Roman" w:eastAsiaTheme="minorHAnsi"/>
          <w:color w:val="auto"/>
          <w:kern w:val="0"/>
          <w:sz w:val="22"/>
          <w:szCs w:val="20"/>
          <w:lang w:val="fr-FR" w:eastAsia="en-US" w:bidi="ar-SA"/>
        </w:rPr>
        <w:t>Mireille David-Elbiali</w:t>
      </w:r>
    </w:p>
    <w:p>
      <w:pPr>
        <w:pStyle w:val="NormalWeb"/>
        <w:shd w:val="clear" w:color="auto" w:fill="FFFFFF"/>
        <w:spacing w:beforeAutospacing="0" w:before="0" w:afterAutospacing="0" w:after="0"/>
        <w:jc w:val="center"/>
        <w:rPr/>
      </w:pPr>
      <w:r>
        <w:rPr>
          <w:sz w:val="20"/>
          <w:szCs w:val="20"/>
        </w:rPr>
        <w:t xml:space="preserve">Université de Geneve, </w:t>
      </w:r>
      <w:r>
        <w:rPr>
          <w:b w:val="false"/>
          <w:bCs w:val="false"/>
          <w:sz w:val="20"/>
          <w:szCs w:val="20"/>
        </w:rPr>
        <w:t>Laboratoire d’archéologie préhistorique et anthropologie</w:t>
      </w:r>
    </w:p>
    <w:p>
      <w:pPr>
        <w:pStyle w:val="NormalWeb"/>
        <w:shd w:val="clear" w:color="auto" w:fill="FFFFFF"/>
        <w:spacing w:beforeAutospacing="0" w:before="0" w:afterAutospacing="0" w:after="0"/>
        <w:jc w:val="center"/>
        <w:rPr/>
      </w:pPr>
      <w:r>
        <w:rPr>
          <w:rStyle w:val="StrongEmphasis"/>
          <w:rFonts w:eastAsia="Times New Roman" w:cs="Times New Roman"/>
          <w:b w:val="false"/>
          <w:bCs w:val="false"/>
          <w:i w:val="false"/>
          <w:iCs w:val="false"/>
          <w:color w:val="auto"/>
          <w:kern w:val="0"/>
          <w:sz w:val="20"/>
          <w:szCs w:val="20"/>
          <w:lang w:val="fr-FR" w:eastAsia="ca-ES" w:bidi="ar-SA"/>
        </w:rPr>
        <w:t xml:space="preserve">Uni Carl Vogt, </w:t>
      </w:r>
      <w:r>
        <w:rPr>
          <w:rStyle w:val="Emphasis"/>
          <w:rFonts w:eastAsia="Times New Roman" w:cs="Times New Roman"/>
          <w:b w:val="false"/>
          <w:bCs w:val="false"/>
          <w:i w:val="false"/>
          <w:iCs w:val="false"/>
          <w:color w:val="auto"/>
          <w:kern w:val="0"/>
          <w:sz w:val="20"/>
          <w:szCs w:val="20"/>
          <w:lang w:val="fr-FR" w:eastAsia="ca-ES" w:bidi="ar-SA"/>
        </w:rPr>
        <w:t>66 boulevard Carl-Vogt, CH-1211 Genève 4</w:t>
      </w:r>
      <w:r>
        <w:rPr>
          <w:rStyle w:val="StrongEmphasis"/>
          <w:rFonts w:eastAsia="Times New Roman" w:cs="Times New Roman"/>
          <w:b w:val="false"/>
          <w:bCs w:val="false"/>
          <w:i w:val="false"/>
          <w:iCs w:val="false"/>
          <w:color w:val="auto"/>
          <w:kern w:val="0"/>
          <w:sz w:val="20"/>
          <w:szCs w:val="20"/>
          <w:lang w:val="fr-FR" w:eastAsia="ca-ES" w:bidi="ar-SA"/>
        </w:rPr>
        <w:t xml:space="preserve"> </w:t>
      </w:r>
    </w:p>
    <w:p>
      <w:pPr>
        <w:pStyle w:val="NormalWeb"/>
        <w:shd w:val="clear" w:color="auto" w:fill="FFFFFF"/>
        <w:spacing w:beforeAutospacing="0" w:before="0" w:afterAutospacing="0" w:after="0"/>
        <w:jc w:val="center"/>
        <w:rPr>
          <w:rStyle w:val="StrongEmphasis"/>
          <w:rFonts w:eastAsia="Times New Roman" w:cs="Times New Roman"/>
          <w:b w:val="false"/>
          <w:b w:val="false"/>
          <w:bCs w:val="false"/>
          <w:i w:val="false"/>
          <w:i w:val="false"/>
          <w:iCs w:val="false"/>
          <w:color w:val="auto"/>
          <w:kern w:val="0"/>
          <w:sz w:val="20"/>
          <w:szCs w:val="20"/>
          <w:lang w:val="fr-FR" w:eastAsia="ca-ES" w:bidi="ar-SA"/>
        </w:rPr>
      </w:pPr>
      <w:r>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sz w:val="22"/>
          <w:szCs w:val="22"/>
        </w:rPr>
      </w:pPr>
      <w:r>
        <w:rPr>
          <w:b/>
          <w:sz w:val="22"/>
          <w:szCs w:val="20"/>
        </w:rPr>
        <w:t>Résumé</w:t>
      </w:r>
    </w:p>
    <w:p>
      <w:pPr>
        <w:pStyle w:val="Normal"/>
        <w:spacing w:lineRule="auto" w:line="240" w:before="240" w:after="160"/>
        <w:jc w:val="both"/>
        <w:rPr>
          <w:rFonts w:ascii="Times New Roman" w:hAnsi="Times New Roman" w:eastAsia="Calibri" w:cs="Times New Roman" w:eastAsiaTheme="minorHAnsi"/>
          <w:color w:val="auto"/>
          <w:kern w:val="0"/>
          <w:sz w:val="22"/>
          <w:szCs w:val="22"/>
          <w:lang w:val="fr-FR" w:eastAsia="en-US" w:bidi="ar-SA"/>
        </w:rPr>
      </w:pPr>
      <w:r>
        <w:rPr>
          <w:rFonts w:eastAsia="Calibri" w:cs="Times New Roman" w:ascii="Times New Roman" w:hAnsi="Times New Roman" w:eastAsiaTheme="minorHAnsi"/>
          <w:color w:val="auto"/>
          <w:kern w:val="0"/>
          <w:sz w:val="22"/>
          <w:szCs w:val="22"/>
          <w:lang w:val="fr-FR" w:eastAsia="en-US" w:bidi="ar-SA"/>
        </w:rPr>
        <w:t>Fondée comme discipline scientifique au XIX</w:t>
      </w:r>
      <w:r>
        <w:rPr>
          <w:rFonts w:eastAsia="Calibri" w:cs="Times New Roman" w:ascii="Times New Roman" w:hAnsi="Times New Roman" w:eastAsiaTheme="minorHAnsi"/>
          <w:color w:val="auto"/>
          <w:kern w:val="0"/>
          <w:sz w:val="22"/>
          <w:szCs w:val="22"/>
          <w:vertAlign w:val="superscript"/>
          <w:lang w:val="fr-FR" w:eastAsia="en-US" w:bidi="ar-SA"/>
        </w:rPr>
        <w:t>e</w:t>
      </w:r>
      <w:r>
        <w:rPr>
          <w:rFonts w:eastAsia="Calibri" w:cs="Times New Roman" w:ascii="Times New Roman" w:hAnsi="Times New Roman" w:eastAsiaTheme="minorHAnsi"/>
          <w:color w:val="auto"/>
          <w:kern w:val="0"/>
          <w:sz w:val="22"/>
          <w:szCs w:val="22"/>
          <w:lang w:val="fr-FR" w:eastAsia="en-US" w:bidi="ar-SA"/>
        </w:rPr>
        <w:t xml:space="preserve"> siècle, la préhistoire relève des sciences historiques pour lesquelles des informations précises de temps et de lieu sont indispensables pour développer un discours cohérent. En ce qui concerne plus précisément l’étude de l’âge du Bronze, certains de ses outils </w:t>
      </w:r>
      <w:bookmarkStart w:id="0" w:name="__DdeLink__747_2697100778"/>
      <w:r>
        <w:rPr>
          <w:rFonts w:eastAsia="Calibri" w:cs="Times New Roman" w:ascii="Times New Roman" w:hAnsi="Times New Roman" w:eastAsiaTheme="minorHAnsi"/>
          <w:color w:val="auto"/>
          <w:kern w:val="0"/>
          <w:sz w:val="22"/>
          <w:szCs w:val="22"/>
          <w:lang w:val="fr-FR" w:eastAsia="en-US" w:bidi="ar-SA"/>
        </w:rPr>
        <w:t>méthodologi</w:t>
      </w:r>
      <w:bookmarkEnd w:id="0"/>
      <w:r>
        <w:rPr>
          <w:rFonts w:eastAsia="Calibri" w:cs="Times New Roman" w:ascii="Times New Roman" w:hAnsi="Times New Roman" w:eastAsiaTheme="minorHAnsi"/>
          <w:color w:val="auto"/>
          <w:kern w:val="0"/>
          <w:sz w:val="22"/>
          <w:szCs w:val="22"/>
          <w:lang w:val="fr-FR" w:eastAsia="en-US" w:bidi="ar-SA"/>
        </w:rPr>
        <w:t>ques actuels ont été proposés déjà par Oscar Montelius à la fin du XIX</w:t>
      </w:r>
      <w:r>
        <w:rPr>
          <w:rFonts w:eastAsia="Calibri" w:cs="Times New Roman" w:ascii="Times New Roman" w:hAnsi="Times New Roman" w:eastAsiaTheme="minorHAnsi"/>
          <w:color w:val="auto"/>
          <w:kern w:val="0"/>
          <w:sz w:val="22"/>
          <w:szCs w:val="22"/>
          <w:vertAlign w:val="superscript"/>
          <w:lang w:val="fr-FR" w:eastAsia="en-US" w:bidi="ar-SA"/>
        </w:rPr>
        <w:t>e</w:t>
      </w:r>
      <w:r>
        <w:rPr>
          <w:rFonts w:eastAsia="Calibri" w:cs="Times New Roman" w:ascii="Times New Roman" w:hAnsi="Times New Roman" w:eastAsiaTheme="minorHAnsi"/>
          <w:color w:val="auto"/>
          <w:kern w:val="0"/>
          <w:sz w:val="22"/>
          <w:szCs w:val="22"/>
          <w:lang w:val="fr-FR" w:eastAsia="en-US" w:bidi="ar-SA"/>
        </w:rPr>
        <w:t xml:space="preserve"> siècle. Il s’agit notamment de la méthode typologique, largement inspirée de la théorie de l’évolution des espèces de Charles Darwin. Associée à la stratigraphie et couplée au corpus des ensembles clos, elle a fourni un cadre de références sur lequel est bâtie l’évolution chronologique et historique de l’âge du Bronze. Ce noble procédé ne fait cependant plus recette. C’est en effet une méthode </w:t>
      </w:r>
      <w:bookmarkStart w:id="1" w:name="_GoBack"/>
      <w:bookmarkEnd w:id="1"/>
      <w:r>
        <w:rPr>
          <w:rFonts w:eastAsia="Calibri" w:cs="Times New Roman" w:ascii="Times New Roman" w:hAnsi="Times New Roman" w:eastAsiaTheme="minorHAnsi"/>
          <w:color w:val="auto"/>
          <w:kern w:val="0"/>
          <w:sz w:val="22"/>
          <w:szCs w:val="22"/>
          <w:lang w:val="fr-FR" w:eastAsia="en-US" w:bidi="ar-SA"/>
        </w:rPr>
        <w:t xml:space="preserve">exigeante, qui passe par une acquisition longue et astreignante des connaissances. Le développement des méthodes de datation absolue, en particulier le </w:t>
      </w:r>
      <w:r>
        <w:rPr>
          <w:rFonts w:eastAsia="Calibri" w:cs="Times New Roman" w:ascii="Times New Roman" w:hAnsi="Times New Roman" w:eastAsiaTheme="minorHAnsi"/>
          <w:color w:val="auto"/>
          <w:kern w:val="0"/>
          <w:sz w:val="22"/>
          <w:szCs w:val="22"/>
          <w:vertAlign w:val="superscript"/>
          <w:lang w:val="fr-FR" w:eastAsia="en-US" w:bidi="ar-SA"/>
        </w:rPr>
        <w:t>14</w:t>
      </w:r>
      <w:r>
        <w:rPr>
          <w:rFonts w:eastAsia="Calibri" w:cs="Times New Roman" w:ascii="Times New Roman" w:hAnsi="Times New Roman" w:eastAsiaTheme="minorHAnsi"/>
          <w:color w:val="auto"/>
          <w:kern w:val="0"/>
          <w:sz w:val="22"/>
          <w:szCs w:val="22"/>
          <w:lang w:val="fr-FR" w:eastAsia="en-US" w:bidi="ar-SA"/>
        </w:rPr>
        <w:t>C, conduit ainsi certains archéologues à délaisser la typologie, mais ces utilisateurs à tout-va semblent ne pas en mesurer exactement les conséquences. La chronologie du Bronze ancien en Europe centrale fournit un excellent exemple de cette dérive ou s’agit-il en fait d’un changement de paradigme ?</w:t>
      </w:r>
    </w:p>
    <w:p>
      <w:pPr>
        <w:pStyle w:val="Heading2"/>
        <w:jc w:val="both"/>
        <w:rPr>
          <w:rFonts w:ascii="Times New Roman" w:hAnsi="Times New Roman" w:cs="Times New Roman"/>
          <w:b/>
          <w:b/>
          <w:color w:val="auto"/>
          <w:sz w:val="22"/>
          <w:szCs w:val="22"/>
        </w:rPr>
      </w:pPr>
      <w:r>
        <w:rPr>
          <w:rFonts w:cs="Times New Roman" w:ascii="Times New Roman" w:hAnsi="Times New Roman"/>
          <w:b/>
          <w:color w:val="auto"/>
          <w:sz w:val="22"/>
          <w:szCs w:val="22"/>
        </w:rPr>
        <w:t>Mots clé</w:t>
      </w:r>
    </w:p>
    <w:p>
      <w:pPr>
        <w:pStyle w:val="Normal"/>
        <w:spacing w:before="240" w:after="160"/>
        <w:jc w:val="both"/>
        <w:rPr>
          <w:rFonts w:ascii="Calibri" w:hAnsi="Calibri" w:eastAsia="Calibri" w:cs="" w:asciiTheme="minorHAnsi" w:cstheme="minorBidi" w:eastAsiaTheme="minorHAnsi" w:hAnsiTheme="minorHAnsi"/>
        </w:rPr>
      </w:pPr>
      <w:r>
        <w:rPr>
          <w:rFonts w:cs="Times New Roman" w:ascii="Times New Roman" w:hAnsi="Times New Roman"/>
        </w:rPr>
        <w:t xml:space="preserve">Bronze ancien, datation, </w:t>
      </w:r>
      <w:r>
        <w:rPr>
          <w:rFonts w:eastAsia="Calibri" w:cs="Times New Roman" w:ascii="Times New Roman" w:hAnsi="Times New Roman" w:eastAsiaTheme="minorHAnsi"/>
          <w:color w:val="auto"/>
          <w:kern w:val="0"/>
          <w:sz w:val="22"/>
          <w:szCs w:val="22"/>
          <w:lang w:val="fr-FR" w:eastAsia="en-US" w:bidi="ar-SA"/>
        </w:rPr>
        <w:t xml:space="preserve">méthodologie, </w:t>
      </w:r>
      <w:r>
        <w:rPr>
          <w:rFonts w:cs="Times New Roman" w:ascii="Times New Roman" w:hAnsi="Times New Roman"/>
        </w:rPr>
        <w:t>chronologie, typologie</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Heading"/>
    <w:qFormat/>
    <w:pPr>
      <w:spacing w:before="240" w:after="120"/>
      <w:outlineLvl w:val="0"/>
    </w:pPr>
    <w:rPr>
      <w:rFonts w:ascii="Liberation Serif" w:hAnsi="Liberation Serif" w:eastAsia="DejaVu Sans" w:cs="DejaVu Sans"/>
      <w:b/>
      <w:bCs/>
      <w:sz w:val="48"/>
      <w:szCs w:val="48"/>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LibreOffice/6.0.7.3$Linux_X86_64 LibreOffice_project/00m0$Build-3</Application>
  <Pages>1</Pages>
  <Words>232</Words>
  <Characters>1339</Characters>
  <CharactersWithSpaces>1565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2021-05-25T18:26:03Z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