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40" w:after="0"/>
        <w:jc w:val="center"/>
        <w:rPr/>
      </w:pPr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US" w:eastAsia="en-US" w:bidi="ar-SA"/>
        </w:rPr>
        <w:t xml:space="preserve">Placing North Africa as a key point in Mediterranean exchange routes in </w:t>
      </w:r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US" w:eastAsia="en-US" w:bidi="ar-SA"/>
        </w:rPr>
        <w:t>Later</w:t>
      </w:r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US" w:eastAsia="en-US" w:bidi="ar-SA"/>
        </w:rPr>
        <w:t xml:space="preserve"> Prehistory. A view from the Iberian Peninsula</w:t>
      </w:r>
    </w:p>
    <w:p>
      <w:pPr>
        <w:pStyle w:val="Normal"/>
        <w:spacing w:before="240" w:after="160"/>
        <w:jc w:val="center"/>
        <w:rPr>
          <w:rFonts w:ascii="Liberation Serif" w:hAnsi="Liberation Serif"/>
          <w:sz w:val="20"/>
          <w:szCs w:val="20"/>
        </w:rPr>
      </w:pPr>
      <w:bookmarkStart w:id="0" w:name="__DdeLink__294_2697100778"/>
      <w:bookmarkEnd w:id="0"/>
      <w:r>
        <w:rPr>
          <w:rFonts w:eastAsia="Calibri" w:cs="Times New Roman" w:eastAsiaTheme="minorHAnsi" w:ascii="Liberation Serif" w:hAnsi="Liberation Serif"/>
          <w:color w:val="auto"/>
          <w:kern w:val="0"/>
          <w:sz w:val="22"/>
          <w:szCs w:val="22"/>
          <w:lang w:val="en-GB" w:eastAsia="en-US" w:bidi="ar-SA"/>
        </w:rPr>
        <w:t>M</w:t>
      </w:r>
      <w:r>
        <w:rPr>
          <w:rFonts w:eastAsia="Calibri" w:cs="Times New Roman" w:eastAsiaTheme="minorHAnsi" w:ascii="Liberation Serif" w:hAnsi="Liberation Serif"/>
          <w:color w:val="auto"/>
          <w:kern w:val="0"/>
          <w:sz w:val="22"/>
          <w:szCs w:val="22"/>
          <w:lang w:val="en-GB" w:eastAsia="en-US" w:bidi="ar-SA"/>
        </w:rPr>
        <w:t>ercedes</w:t>
      </w:r>
      <w:r>
        <w:rPr>
          <w:rFonts w:eastAsia="Calibri" w:cs="Times New Roman" w:eastAsiaTheme="minorHAnsi" w:ascii="Liberation Serif" w:hAnsi="Liberation Serif"/>
          <w:color w:val="auto"/>
          <w:kern w:val="0"/>
          <w:sz w:val="22"/>
          <w:szCs w:val="22"/>
          <w:lang w:val="en-GB" w:eastAsia="en-US" w:bidi="ar-SA"/>
        </w:rPr>
        <w:t xml:space="preserve"> Murillo-Barroso</w:t>
      </w:r>
    </w:p>
    <w:p>
      <w:pPr>
        <w:pStyle w:val="Heading1"/>
        <w:shd w:val="clear" w:color="auto" w:fill="FFFFFF"/>
        <w:spacing w:beforeAutospacing="0" w:before="0" w:afterAutospacing="0" w:after="0"/>
        <w:jc w:val="center"/>
        <w:rPr>
          <w:rFonts w:ascii="Liberation Serif" w:hAnsi="Liberation Serif" w:eastAsia="DejaVu Sans" w:cs="DejaVu Sans"/>
          <w:b w:val="false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</w:pPr>
      <w:r>
        <w:rPr>
          <w:rFonts w:eastAsia="DejaVu Sans" w:cs="DejaVu Sans" w:ascii="Liberation Serif" w:hAnsi="Liberation Serif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  <w:t>Departamento de Prehistoria y Arqueología – UGR</w:t>
      </w:r>
    </w:p>
    <w:p>
      <w:pPr>
        <w:pStyle w:val="Heading1"/>
        <w:shd w:val="clear" w:color="auto" w:fill="FFFFFF"/>
        <w:spacing w:beforeAutospacing="0" w:before="0" w:afterAutospacing="0" w:after="0"/>
        <w:jc w:val="center"/>
        <w:rPr>
          <w:rFonts w:ascii="Liberation Serif" w:hAnsi="Liberation Serif" w:eastAsia="DejaVu Sans" w:cs="DejaVu Sans"/>
          <w:b w:val="false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</w:pPr>
      <w:r>
        <w:rPr>
          <w:rFonts w:eastAsia="DejaVu Sans" w:cs="DejaVu Sans" w:ascii="Liberation Serif" w:hAnsi="Liberation Serif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  <w:t xml:space="preserve">Campus de Cartuja s/n, </w:t>
      </w:r>
      <w:r>
        <w:rPr>
          <w:rFonts w:eastAsia="DejaVu Sans" w:cs="DejaVu Sans" w:ascii="Liberation Serif" w:hAnsi="Liberation Serif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  <w:t>E-</w:t>
      </w:r>
      <w:r>
        <w:rPr>
          <w:rFonts w:eastAsia="DejaVu Sans" w:cs="DejaVu Sans" w:ascii="Liberation Serif" w:hAnsi="Liberation Serif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  <w:t>18071 Granada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sz w:val="22"/>
          <w:szCs w:val="20"/>
        </w:rPr>
        <w:t>Abstract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en-GB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During the 4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vertAlign w:val="superscript"/>
          <w:lang w:val="en-GB" w:eastAsia="en-US" w:bidi="ar-SA"/>
        </w:rPr>
        <w:t>th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and especially the 3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vertAlign w:val="superscript"/>
          <w:lang w:val="en-GB" w:eastAsia="en-US" w:bidi="ar-SA"/>
        </w:rPr>
        <w:t>rd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m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illennia BC, the frequency of exotic objects is significantly increased in the archaeological record, particularly in the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S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outh of Iberia. Among them, ivory, amber and ostrich eggshell stands out. Traditionally, ivory and ostrich eggshell were assumed to have a north African origin, although the latest archaeometric studies have shown that provenancing materials is not as straightforward, opening a range of possibilities. Regarding amber, provenance analyses by FTIR have been conducted showing that the amber found in Iberian contexts from at least the 4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vertAlign w:val="superscript"/>
          <w:lang w:val="en-GB" w:eastAsia="en-US" w:bidi="ar-SA"/>
        </w:rPr>
        <w:t>th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m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illennium BC is </w:t>
      </w:r>
      <w:r>
        <w:rPr>
          <w:rFonts w:eastAsia="Calibri" w:cs="Times New Roman" w:eastAsiaTheme="minorHAnsi" w:ascii="Times New Roman" w:hAnsi="Times New Roman"/>
          <w:i/>
          <w:color w:val="auto"/>
          <w:kern w:val="0"/>
          <w:sz w:val="22"/>
          <w:szCs w:val="22"/>
          <w:lang w:val="en-GB" w:eastAsia="en-US" w:bidi="ar-SA"/>
        </w:rPr>
        <w:t>simetite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, whose origin is in Sicily. However, no other evidence of direct contact between Sicily and Iberia are known. Considering that: 1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)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The distribution pattern of amber objects in Iberia is similar to that of ivory and ostrich eggshell, and 2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)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Contacts between Sicily, Pantelleria, and Tunisia and North Africa have been proposed on the basis of obsidian trade;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w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e raise the following question: Is North Africa acting as a ‘distribut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ion hub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’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for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amber,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allowing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Sicilian amber to reach Iberia? Is Sicilian amber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actually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reaching Iberia</w:t>
      </w:r>
      <w:bookmarkStart w:id="1" w:name="_GoBack"/>
      <w:bookmarkEnd w:id="1"/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through contacts with North Africa? In order to answer th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ese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question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s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 we aim to share ideas, insights and information with specialists working on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 xml:space="preserve">the Later Prehistory of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en-GB" w:eastAsia="en-US" w:bidi="ar-SA"/>
        </w:rPr>
        <w:t>North Africa.</w:t>
      </w:r>
    </w:p>
    <w:p>
      <w:pPr>
        <w:pStyle w:val="Heading2"/>
        <w:jc w:val="both"/>
        <w:rPr>
          <w:lang w:val="en-GB" w:eastAsia="en-US" w:bidi="ar-SA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  <w:lang w:val="en-GB" w:eastAsia="en-US" w:bidi="ar-SA"/>
        </w:rPr>
        <w:t>Keywords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>Later Prehistory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 xml:space="preserve">North Africa, </w:t>
      </w:r>
      <w:r>
        <w:rPr>
          <w:rFonts w:cs="Times New Roman" w:ascii="Times New Roman" w:hAnsi="Times New Roman"/>
          <w:lang w:val="en-GB" w:eastAsia="en-US" w:bidi="ar-SA"/>
        </w:rPr>
        <w:t>Iberia</w:t>
      </w:r>
      <w:r>
        <w:rPr>
          <w:rFonts w:cs="Times New Roman" w:ascii="Times New Roman" w:hAnsi="Times New Roman"/>
          <w:lang w:val="en-GB" w:eastAsia="en-US" w:bidi="ar-SA"/>
        </w:rPr>
        <w:t>n Peninsula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Sicily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amber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exchange networks</w:t>
      </w:r>
      <w:r>
        <w:rPr>
          <w:rFonts w:cs="Times New Roman" w:ascii="Times New Roman" w:hAnsi="Times New Roman"/>
          <w:lang w:val="en-GB" w:eastAsia="en-US" w:bidi="ar-SA"/>
        </w:rPr>
        <w:t xml:space="preserve"> </w:t>
      </w:r>
    </w:p>
    <w:p>
      <w:pPr>
        <w:pStyle w:val="Normal"/>
        <w:spacing w:before="24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00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Heading2">
    <w:name w:val="Heading 2"/>
    <w:basedOn w:val="Normal"/>
    <w:next w:val="Normal"/>
    <w:link w:val="Ttol2Car"/>
    <w:uiPriority w:val="9"/>
    <w:unhideWhenUsed/>
    <w:qFormat/>
    <w:rsid w:val="007e4f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olCar" w:customStyle="1">
    <w:name w:val="Subtítol Car"/>
    <w:basedOn w:val="DefaultParagraphFont"/>
    <w:link w:val="Subttol"/>
    <w:uiPriority w:val="11"/>
    <w:qFormat/>
    <w:rsid w:val="00b700d3"/>
    <w:rPr>
      <w:rFonts w:eastAsia=""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sid w:val="00b700d3"/>
    <w:rPr>
      <w:color w:val="808080"/>
    </w:rPr>
  </w:style>
  <w:style w:type="character" w:styleId="Ttol2Car" w:customStyle="1">
    <w:name w:val="Títol 2 Car"/>
    <w:basedOn w:val="DefaultParagraphFont"/>
    <w:link w:val="Ttol2"/>
    <w:uiPriority w:val="9"/>
    <w:qFormat/>
    <w:rsid w:val="007e4f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  <w:sz w:val="24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700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Subtitle">
    <w:name w:val="Subtitle"/>
    <w:basedOn w:val="Normal"/>
    <w:next w:val="Normal"/>
    <w:link w:val="SubttolCar"/>
    <w:uiPriority w:val="11"/>
    <w:qFormat/>
    <w:rsid w:val="00b700d3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c5b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LibreOffice/6.0.7.3$Linux_X86_64 LibreOffice_project/00m0$Build-3</Application>
  <Pages>1</Pages>
  <Words>254</Words>
  <Characters>1428</Characters>
  <CharactersWithSpaces>1676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2021-05-23T09:15:00Z</dcterms:created>
  <dc:creator>PC</dc:creator>
  <dc:description/>
  <dc:language>en-GB</dc:language>
  <cp:lastModifiedBy/>
  <dcterms:modified xsi:type="dcterms:W3CDTF">2021-05-30T10:54:20Z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