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1BA1" w:rsidRPr="00321BA1" w:rsidRDefault="00321BA1" w:rsidP="00E2511D">
      <w:pPr>
        <w:rPr>
          <w:b/>
          <w:sz w:val="28"/>
          <w:lang w:val="en-GB"/>
        </w:rPr>
      </w:pPr>
      <w:r w:rsidRPr="00321BA1">
        <w:rPr>
          <w:b/>
          <w:sz w:val="28"/>
          <w:lang w:val="en-GB"/>
        </w:rPr>
        <w:t xml:space="preserve">Early and Late Neolithic Pottery of Ifri </w:t>
      </w:r>
      <w:proofErr w:type="spellStart"/>
      <w:r w:rsidRPr="00321BA1">
        <w:rPr>
          <w:b/>
          <w:sz w:val="28"/>
          <w:lang w:val="en-GB"/>
        </w:rPr>
        <w:t>n’Etsedda</w:t>
      </w:r>
      <w:proofErr w:type="spellEnd"/>
      <w:r w:rsidRPr="00321BA1">
        <w:rPr>
          <w:b/>
          <w:sz w:val="28"/>
          <w:lang w:val="en-GB"/>
        </w:rPr>
        <w:t>, Eastern Rif, Morocco.</w:t>
      </w:r>
    </w:p>
    <w:p w:rsidR="00321BA1" w:rsidRDefault="00321BA1" w:rsidP="00E2511D">
      <w:pPr>
        <w:rPr>
          <w:lang w:val="en-GB"/>
        </w:rPr>
      </w:pPr>
      <w:r>
        <w:rPr>
          <w:lang w:val="en-GB"/>
        </w:rPr>
        <w:t>Oriol Vicente Campos</w:t>
      </w:r>
      <w:r w:rsidRPr="00321BA1">
        <w:rPr>
          <w:vertAlign w:val="superscript"/>
          <w:lang w:val="en-GB"/>
        </w:rPr>
        <w:t>1</w:t>
      </w:r>
      <w:r>
        <w:rPr>
          <w:lang w:val="en-GB"/>
        </w:rPr>
        <w:t xml:space="preserve"> &amp; Jörg Linstädter</w:t>
      </w:r>
      <w:r>
        <w:rPr>
          <w:vertAlign w:val="superscript"/>
          <w:lang w:val="en-GB"/>
        </w:rPr>
        <w:t>2</w:t>
      </w:r>
    </w:p>
    <w:p w:rsidR="00321BA1" w:rsidRPr="00321BA1" w:rsidRDefault="00321BA1" w:rsidP="00E2511D">
      <w:r w:rsidRPr="00321BA1">
        <w:rPr>
          <w:vertAlign w:val="superscript"/>
        </w:rPr>
        <w:t>1</w:t>
      </w:r>
      <w:r w:rsidRPr="00321BA1">
        <w:rPr>
          <w:vertAlign w:val="superscript"/>
        </w:rPr>
        <w:t xml:space="preserve"> </w:t>
      </w:r>
      <w:proofErr w:type="spellStart"/>
      <w:r w:rsidRPr="00321BA1">
        <w:t>Autonoma</w:t>
      </w:r>
      <w:proofErr w:type="spellEnd"/>
      <w:r w:rsidRPr="00321BA1">
        <w:t xml:space="preserve"> University, Barcelona</w:t>
      </w:r>
    </w:p>
    <w:p w:rsidR="00321BA1" w:rsidRPr="00321BA1" w:rsidRDefault="00321BA1" w:rsidP="00E2511D">
      <w:r w:rsidRPr="00321BA1">
        <w:rPr>
          <w:vertAlign w:val="superscript"/>
        </w:rPr>
        <w:t xml:space="preserve">2 </w:t>
      </w:r>
      <w:r w:rsidRPr="00321BA1">
        <w:t>Deutsches Archäologisches Institut</w:t>
      </w:r>
    </w:p>
    <w:p w:rsidR="00321BA1" w:rsidRDefault="00321BA1" w:rsidP="00E2511D">
      <w:pPr>
        <w:rPr>
          <w:lang w:val="en-GB"/>
        </w:rPr>
      </w:pPr>
    </w:p>
    <w:p w:rsidR="00311FCF" w:rsidRDefault="00E2511D" w:rsidP="00E2511D">
      <w:pPr>
        <w:rPr>
          <w:lang w:val="en-GB"/>
        </w:rPr>
      </w:pPr>
      <w:bookmarkStart w:id="0" w:name="_GoBack"/>
      <w:bookmarkEnd w:id="0"/>
      <w:r w:rsidRPr="00E2511D">
        <w:rPr>
          <w:lang w:val="en-GB"/>
        </w:rPr>
        <w:t>Since 1995 archaeological research has been carried</w:t>
      </w:r>
      <w:r w:rsidR="00A46A0C">
        <w:rPr>
          <w:lang w:val="en-GB"/>
        </w:rPr>
        <w:t xml:space="preserve"> </w:t>
      </w:r>
      <w:r w:rsidRPr="00E2511D">
        <w:rPr>
          <w:lang w:val="en-GB"/>
        </w:rPr>
        <w:t>out in the Eastern Rif by a Moroccan-</w:t>
      </w:r>
      <w:r w:rsidRPr="00E2511D">
        <w:rPr>
          <w:lang w:val="en-GB"/>
        </w:rPr>
        <w:t xml:space="preserve">German research </w:t>
      </w:r>
      <w:r w:rsidRPr="00E2511D">
        <w:rPr>
          <w:lang w:val="en-GB"/>
        </w:rPr>
        <w:t>tea</w:t>
      </w:r>
      <w:r w:rsidRPr="00E2511D">
        <w:rPr>
          <w:rFonts w:ascii="Calibri" w:eastAsia="Calibri" w:hAnsi="Calibri" w:cs="Calibri"/>
          <w:lang w:val="en-GB"/>
        </w:rPr>
        <w:t>m</w:t>
      </w:r>
      <w:r w:rsidRPr="00E2511D">
        <w:rPr>
          <w:lang w:val="en-GB"/>
        </w:rPr>
        <w:t xml:space="preserve"> </w:t>
      </w:r>
      <w:r w:rsidRPr="00E2511D">
        <w:rPr>
          <w:rFonts w:ascii="Calibri" w:eastAsia="Calibri" w:hAnsi="Calibri" w:cs="Calibri"/>
          <w:lang w:val="en-GB"/>
        </w:rPr>
        <w:t>w</w:t>
      </w:r>
      <w:r w:rsidRPr="00E2511D">
        <w:rPr>
          <w:lang w:val="en-GB"/>
        </w:rPr>
        <w:t>ith a pa</w:t>
      </w:r>
      <w:r>
        <w:rPr>
          <w:lang w:val="en-GB"/>
        </w:rPr>
        <w:t>r</w:t>
      </w:r>
      <w:r w:rsidRPr="00E2511D">
        <w:rPr>
          <w:lang w:val="en-GB"/>
        </w:rPr>
        <w:t>t</w:t>
      </w:r>
      <w:r>
        <w:rPr>
          <w:lang w:val="en-GB"/>
        </w:rPr>
        <w:t>ic</w:t>
      </w:r>
      <w:r w:rsidRPr="00E2511D">
        <w:rPr>
          <w:lang w:val="en-GB"/>
        </w:rPr>
        <w:t>ipatio</w:t>
      </w:r>
      <w:r w:rsidRPr="00E2511D">
        <w:rPr>
          <w:rFonts w:ascii="Calibri" w:eastAsia="Calibri" w:hAnsi="Calibri" w:cs="Calibri"/>
          <w:lang w:val="en-GB"/>
        </w:rPr>
        <w:t>n</w:t>
      </w:r>
      <w:r w:rsidRPr="00E2511D">
        <w:rPr>
          <w:lang w:val="en-GB"/>
        </w:rPr>
        <w:t xml:space="preserve"> of the </w:t>
      </w:r>
      <w:proofErr w:type="spellStart"/>
      <w:r w:rsidRPr="00E2511D">
        <w:rPr>
          <w:rFonts w:ascii="Calibri" w:eastAsia="Calibri" w:hAnsi="Calibri" w:cs="Calibri"/>
          <w:lang w:val="en-GB"/>
        </w:rPr>
        <w:t>In</w:t>
      </w:r>
      <w:r w:rsidRPr="00E2511D">
        <w:rPr>
          <w:lang w:val="en-GB"/>
        </w:rPr>
        <w:t>stitut</w:t>
      </w:r>
      <w:proofErr w:type="spellEnd"/>
      <w:r w:rsidRPr="00E2511D">
        <w:rPr>
          <w:lang w:val="en-GB"/>
        </w:rPr>
        <w:t xml:space="preserve"> </w:t>
      </w:r>
      <w:proofErr w:type="spellStart"/>
      <w:r w:rsidRPr="00E2511D">
        <w:rPr>
          <w:lang w:val="en-GB"/>
        </w:rPr>
        <w:t>Natio</w:t>
      </w:r>
      <w:r w:rsidRPr="00E2511D">
        <w:rPr>
          <w:rFonts w:ascii="Calibri" w:eastAsia="Calibri" w:hAnsi="Calibri" w:cs="Calibri"/>
          <w:lang w:val="en-GB"/>
        </w:rPr>
        <w:t>t</w:t>
      </w:r>
      <w:r w:rsidRPr="00E2511D">
        <w:rPr>
          <w:lang w:val="en-GB"/>
        </w:rPr>
        <w:t>al</w:t>
      </w:r>
      <w:proofErr w:type="spellEnd"/>
      <w:r w:rsidRPr="00E2511D">
        <w:rPr>
          <w:lang w:val="en-GB"/>
        </w:rPr>
        <w:t xml:space="preserve"> des</w:t>
      </w:r>
      <w:r>
        <w:rPr>
          <w:lang w:val="en-GB"/>
        </w:rPr>
        <w:t xml:space="preserve"> </w:t>
      </w:r>
      <w:r w:rsidRPr="00E2511D">
        <w:rPr>
          <w:lang w:val="en-GB"/>
        </w:rPr>
        <w:t xml:space="preserve">Sciences de </w:t>
      </w:r>
      <w:proofErr w:type="spellStart"/>
      <w:r w:rsidRPr="00E2511D">
        <w:rPr>
          <w:lang w:val="en-GB"/>
        </w:rPr>
        <w:t>l'A</w:t>
      </w:r>
      <w:r w:rsidRPr="00E2511D">
        <w:rPr>
          <w:rFonts w:ascii="Calibri" w:eastAsia="Calibri" w:hAnsi="Calibri" w:cs="Calibri"/>
          <w:lang w:val="en-GB"/>
        </w:rPr>
        <w:t>rc</w:t>
      </w:r>
      <w:r w:rsidRPr="00E2511D">
        <w:rPr>
          <w:lang w:val="en-GB"/>
        </w:rPr>
        <w:t>h</w:t>
      </w:r>
      <w:r>
        <w:rPr>
          <w:rFonts w:ascii="Calibri" w:eastAsia="Calibri" w:hAnsi="Calibri" w:cs="Calibri"/>
          <w:lang w:val="en-GB"/>
        </w:rPr>
        <w:t>é</w:t>
      </w:r>
      <w:r w:rsidRPr="00E2511D">
        <w:rPr>
          <w:lang w:val="en-GB"/>
        </w:rPr>
        <w:t>ologie</w:t>
      </w:r>
      <w:proofErr w:type="spellEnd"/>
      <w:r w:rsidRPr="00E2511D">
        <w:rPr>
          <w:lang w:val="en-GB"/>
        </w:rPr>
        <w:t xml:space="preserve"> et du </w:t>
      </w:r>
      <w:proofErr w:type="spellStart"/>
      <w:r w:rsidRPr="00E2511D">
        <w:rPr>
          <w:lang w:val="en-GB"/>
        </w:rPr>
        <w:t>Pat</w:t>
      </w:r>
      <w:r w:rsidRPr="00E2511D">
        <w:rPr>
          <w:rFonts w:ascii="Calibri" w:eastAsia="Calibri" w:hAnsi="Calibri" w:cs="Calibri"/>
          <w:lang w:val="en-GB"/>
        </w:rPr>
        <w:t>r</w:t>
      </w:r>
      <w:r w:rsidRPr="00E2511D">
        <w:rPr>
          <w:lang w:val="en-GB"/>
        </w:rPr>
        <w:t>i</w:t>
      </w:r>
      <w:r w:rsidRPr="00E2511D">
        <w:rPr>
          <w:rFonts w:ascii="Calibri" w:eastAsia="Calibri" w:hAnsi="Calibri" w:cs="Calibri"/>
          <w:lang w:val="en-GB"/>
        </w:rPr>
        <w:t>m</w:t>
      </w:r>
      <w:r w:rsidRPr="00E2511D">
        <w:rPr>
          <w:lang w:val="en-GB"/>
        </w:rPr>
        <w:t>oi</w:t>
      </w:r>
      <w:r w:rsidRPr="00E2511D">
        <w:rPr>
          <w:rFonts w:ascii="Calibri" w:eastAsia="Calibri" w:hAnsi="Calibri" w:cs="Calibri"/>
          <w:lang w:val="en-GB"/>
        </w:rPr>
        <w:t>n</w:t>
      </w:r>
      <w:r w:rsidRPr="00E2511D">
        <w:rPr>
          <w:lang w:val="en-GB"/>
        </w:rPr>
        <w:t>e</w:t>
      </w:r>
      <w:proofErr w:type="spellEnd"/>
      <w:r w:rsidRPr="00E2511D">
        <w:rPr>
          <w:lang w:val="en-GB"/>
        </w:rPr>
        <w:t xml:space="preserve"> du </w:t>
      </w:r>
      <w:proofErr w:type="spellStart"/>
      <w:r w:rsidRPr="00E2511D">
        <w:rPr>
          <w:lang w:val="en-GB"/>
        </w:rPr>
        <w:t>Ma</w:t>
      </w:r>
      <w:r w:rsidRPr="00E2511D">
        <w:rPr>
          <w:rFonts w:ascii="Calibri" w:eastAsia="Calibri" w:hAnsi="Calibri" w:cs="Calibri"/>
          <w:lang w:val="en-GB"/>
        </w:rPr>
        <w:t>r</w:t>
      </w:r>
      <w:r w:rsidRPr="00E2511D">
        <w:rPr>
          <w:lang w:val="en-GB"/>
        </w:rPr>
        <w:t>o</w:t>
      </w:r>
      <w:r w:rsidRPr="00E2511D">
        <w:rPr>
          <w:rFonts w:ascii="Calibri" w:eastAsia="Calibri" w:hAnsi="Calibri" w:cs="Calibri"/>
          <w:lang w:val="en-GB"/>
        </w:rPr>
        <w:t>c</w:t>
      </w:r>
      <w:proofErr w:type="spellEnd"/>
      <w:r w:rsidRPr="00E2511D">
        <w:rPr>
          <w:lang w:val="en-GB"/>
        </w:rPr>
        <w:t>,</w:t>
      </w:r>
      <w:r w:rsidRPr="00E2511D">
        <w:rPr>
          <w:lang w:val="en-GB"/>
        </w:rPr>
        <w:t xml:space="preserve"> </w:t>
      </w:r>
      <w:r w:rsidRPr="00E2511D">
        <w:rPr>
          <w:lang w:val="en-GB"/>
        </w:rPr>
        <w:t xml:space="preserve">the </w:t>
      </w:r>
      <w:proofErr w:type="spellStart"/>
      <w:r w:rsidRPr="00E2511D">
        <w:rPr>
          <w:lang w:val="en-GB"/>
        </w:rPr>
        <w:t>Deuts</w:t>
      </w:r>
      <w:r w:rsidRPr="00E2511D">
        <w:rPr>
          <w:rFonts w:ascii="Calibri" w:eastAsia="Calibri" w:hAnsi="Calibri" w:cs="Calibri"/>
          <w:lang w:val="en-GB"/>
        </w:rPr>
        <w:t>c</w:t>
      </w:r>
      <w:r w:rsidRPr="00E2511D">
        <w:rPr>
          <w:lang w:val="en-GB"/>
        </w:rPr>
        <w:t>hes</w:t>
      </w:r>
      <w:proofErr w:type="spellEnd"/>
      <w:r w:rsidRPr="00E2511D">
        <w:rPr>
          <w:lang w:val="en-GB"/>
        </w:rPr>
        <w:t xml:space="preserve"> </w:t>
      </w:r>
      <w:proofErr w:type="spellStart"/>
      <w:r w:rsidRPr="00E2511D">
        <w:rPr>
          <w:lang w:val="en-GB"/>
        </w:rPr>
        <w:t>A</w:t>
      </w:r>
      <w:r w:rsidRPr="00E2511D">
        <w:rPr>
          <w:rFonts w:ascii="Calibri" w:eastAsia="Calibri" w:hAnsi="Calibri" w:cs="Calibri"/>
          <w:lang w:val="en-GB"/>
        </w:rPr>
        <w:t>rc</w:t>
      </w:r>
      <w:r w:rsidRPr="00E2511D">
        <w:rPr>
          <w:lang w:val="en-GB"/>
        </w:rPr>
        <w:t>häologis</w:t>
      </w:r>
      <w:r w:rsidRPr="00E2511D">
        <w:rPr>
          <w:rFonts w:ascii="Calibri" w:eastAsia="Calibri" w:hAnsi="Calibri" w:cs="Calibri"/>
          <w:lang w:val="en-GB"/>
        </w:rPr>
        <w:t>c</w:t>
      </w:r>
      <w:r w:rsidRPr="00E2511D">
        <w:rPr>
          <w:lang w:val="en-GB"/>
        </w:rPr>
        <w:t>hes</w:t>
      </w:r>
      <w:proofErr w:type="spellEnd"/>
      <w:r w:rsidRPr="00E2511D">
        <w:rPr>
          <w:lang w:val="en-GB"/>
        </w:rPr>
        <w:t xml:space="preserve"> </w:t>
      </w:r>
      <w:proofErr w:type="spellStart"/>
      <w:r w:rsidRPr="00E2511D">
        <w:rPr>
          <w:lang w:val="en-GB"/>
        </w:rPr>
        <w:t>I</w:t>
      </w:r>
      <w:r w:rsidRPr="00E2511D">
        <w:rPr>
          <w:rFonts w:ascii="Calibri" w:eastAsia="Calibri" w:hAnsi="Calibri" w:cs="Calibri"/>
          <w:lang w:val="en-GB"/>
        </w:rPr>
        <w:t>n</w:t>
      </w:r>
      <w:r w:rsidRPr="00E2511D">
        <w:rPr>
          <w:lang w:val="en-GB"/>
        </w:rPr>
        <w:t>stituts</w:t>
      </w:r>
      <w:proofErr w:type="spellEnd"/>
      <w:r>
        <w:rPr>
          <w:lang w:val="en-GB"/>
        </w:rPr>
        <w:t xml:space="preserve">, the </w:t>
      </w:r>
      <w:proofErr w:type="spellStart"/>
      <w:r>
        <w:rPr>
          <w:lang w:val="en-GB"/>
        </w:rPr>
        <w:t>Autonoma</w:t>
      </w:r>
      <w:proofErr w:type="spellEnd"/>
      <w:r>
        <w:rPr>
          <w:lang w:val="en-GB"/>
        </w:rPr>
        <w:t xml:space="preserve"> University, Barcelona</w:t>
      </w:r>
      <w:r w:rsidRPr="00E2511D">
        <w:rPr>
          <w:lang w:val="en-GB"/>
        </w:rPr>
        <w:t xml:space="preserve"> a</w:t>
      </w:r>
      <w:r w:rsidRPr="00E2511D">
        <w:rPr>
          <w:rFonts w:ascii="Calibri" w:eastAsia="Calibri" w:hAnsi="Calibri" w:cs="Calibri"/>
          <w:lang w:val="en-GB"/>
        </w:rPr>
        <w:t>n</w:t>
      </w:r>
      <w:r w:rsidRPr="00E2511D">
        <w:rPr>
          <w:lang w:val="en-GB"/>
        </w:rPr>
        <w:t>d the</w:t>
      </w:r>
      <w:r w:rsidRPr="00E2511D">
        <w:rPr>
          <w:lang w:val="en-GB"/>
        </w:rPr>
        <w:t xml:space="preserve"> </w:t>
      </w:r>
      <w:r w:rsidRPr="00E2511D">
        <w:rPr>
          <w:rFonts w:ascii="Calibri" w:eastAsia="Calibri" w:hAnsi="Calibri" w:cs="Calibri"/>
          <w:lang w:val="en-GB"/>
        </w:rPr>
        <w:t>University</w:t>
      </w:r>
      <w:r w:rsidR="00A46A0C">
        <w:rPr>
          <w:rFonts w:ascii="Calibri" w:eastAsia="Calibri" w:hAnsi="Calibri" w:cs="Calibri"/>
          <w:lang w:val="en-GB"/>
        </w:rPr>
        <w:t xml:space="preserve"> </w:t>
      </w:r>
      <w:r w:rsidRPr="00E2511D">
        <w:rPr>
          <w:lang w:val="en-GB"/>
        </w:rPr>
        <w:t xml:space="preserve">of </w:t>
      </w:r>
      <w:r>
        <w:rPr>
          <w:lang w:val="en-GB"/>
        </w:rPr>
        <w:t>Cologne</w:t>
      </w:r>
      <w:r w:rsidRPr="00E2511D">
        <w:rPr>
          <w:lang w:val="en-GB"/>
        </w:rPr>
        <w:t xml:space="preserve">. </w:t>
      </w:r>
      <w:r>
        <w:rPr>
          <w:lang w:val="en-GB"/>
        </w:rPr>
        <w:t>During</w:t>
      </w:r>
      <w:r w:rsidRPr="00E2511D">
        <w:rPr>
          <w:lang w:val="en-GB"/>
        </w:rPr>
        <w:t xml:space="preserve"> that ti</w:t>
      </w:r>
      <w:r>
        <w:rPr>
          <w:rFonts w:ascii="Calibri" w:eastAsia="Calibri" w:hAnsi="Calibri" w:cs="Calibri"/>
          <w:lang w:val="en-GB"/>
        </w:rPr>
        <w:t>m</w:t>
      </w:r>
      <w:r w:rsidRPr="00E2511D">
        <w:rPr>
          <w:lang w:val="en-GB"/>
        </w:rPr>
        <w:t xml:space="preserve">e </w:t>
      </w:r>
      <w:r>
        <w:rPr>
          <w:lang w:val="en-GB"/>
        </w:rPr>
        <w:t xml:space="preserve">several </w:t>
      </w:r>
      <w:r w:rsidRPr="00E2511D">
        <w:rPr>
          <w:lang w:val="en-GB"/>
        </w:rPr>
        <w:t xml:space="preserve">hundred sites from the Lower </w:t>
      </w:r>
      <w:proofErr w:type="spellStart"/>
      <w:r w:rsidRPr="00E2511D">
        <w:rPr>
          <w:lang w:val="en-GB"/>
        </w:rPr>
        <w:t>Paleolithic</w:t>
      </w:r>
      <w:proofErr w:type="spellEnd"/>
      <w:r w:rsidRPr="00E2511D">
        <w:rPr>
          <w:lang w:val="en-GB"/>
        </w:rPr>
        <w:t xml:space="preserve"> up to Islamic</w:t>
      </w:r>
      <w:r w:rsidRPr="00E2511D">
        <w:rPr>
          <w:lang w:val="en-GB"/>
        </w:rPr>
        <w:t xml:space="preserve"> </w:t>
      </w:r>
      <w:r w:rsidRPr="00E2511D">
        <w:rPr>
          <w:lang w:val="en-GB"/>
        </w:rPr>
        <w:t>times were discovered, of which several were</w:t>
      </w:r>
      <w:r>
        <w:rPr>
          <w:lang w:val="en-GB"/>
        </w:rPr>
        <w:t xml:space="preserve"> </w:t>
      </w:r>
      <w:r w:rsidRPr="00E2511D">
        <w:rPr>
          <w:lang w:val="en-GB"/>
        </w:rPr>
        <w:t>excavated.</w:t>
      </w:r>
    </w:p>
    <w:p w:rsidR="00A46A0C" w:rsidRPr="00A46A0C" w:rsidRDefault="004B2B95" w:rsidP="00A46A0C">
      <w:pPr>
        <w:rPr>
          <w:lang w:val="en-GB"/>
        </w:rPr>
      </w:pPr>
      <w:r w:rsidRPr="00A46A0C">
        <w:rPr>
          <w:lang w:val="en-GB"/>
        </w:rPr>
        <w:t>A major topic of the project is the transition to food</w:t>
      </w:r>
      <w:r w:rsidRPr="00A46A0C">
        <w:rPr>
          <w:lang w:val="en-GB"/>
        </w:rPr>
        <w:t xml:space="preserve"> </w:t>
      </w:r>
      <w:r w:rsidRPr="00A46A0C">
        <w:rPr>
          <w:lang w:val="en-GB"/>
        </w:rPr>
        <w:t>production and related developments. Altogether 18</w:t>
      </w:r>
      <w:r w:rsidR="00A46A0C" w:rsidRPr="00A46A0C">
        <w:rPr>
          <w:lang w:val="en-GB"/>
        </w:rPr>
        <w:t xml:space="preserve"> </w:t>
      </w:r>
      <w:proofErr w:type="spellStart"/>
      <w:r w:rsidRPr="00A46A0C">
        <w:rPr>
          <w:lang w:val="en-GB"/>
        </w:rPr>
        <w:t>epipalaeolithic</w:t>
      </w:r>
      <w:proofErr w:type="spellEnd"/>
      <w:r w:rsidRPr="00A46A0C">
        <w:rPr>
          <w:lang w:val="en-GB"/>
        </w:rPr>
        <w:t xml:space="preserve"> and </w:t>
      </w:r>
      <w:proofErr w:type="spellStart"/>
      <w:r w:rsidRPr="00A46A0C">
        <w:rPr>
          <w:lang w:val="en-GB"/>
        </w:rPr>
        <w:t>neolithic</w:t>
      </w:r>
      <w:proofErr w:type="spellEnd"/>
      <w:r w:rsidRPr="00A46A0C">
        <w:rPr>
          <w:lang w:val="en-GB"/>
        </w:rPr>
        <w:t xml:space="preserve"> sites were excavated.</w:t>
      </w:r>
      <w:r w:rsidR="00A46A0C" w:rsidRPr="00A46A0C">
        <w:rPr>
          <w:lang w:val="en-GB"/>
        </w:rPr>
        <w:t xml:space="preserve"> </w:t>
      </w:r>
      <w:r w:rsidRPr="00A46A0C">
        <w:rPr>
          <w:lang w:val="en-GB"/>
        </w:rPr>
        <w:t>Neolithic innovations such as pottery and domestic</w:t>
      </w:r>
      <w:r w:rsidR="00A46A0C" w:rsidRPr="00A46A0C">
        <w:rPr>
          <w:lang w:val="en-GB"/>
        </w:rPr>
        <w:t xml:space="preserve"> </w:t>
      </w:r>
      <w:r w:rsidRPr="00A46A0C">
        <w:rPr>
          <w:lang w:val="en-GB"/>
        </w:rPr>
        <w:t xml:space="preserve">species begin around 7.6 ka </w:t>
      </w:r>
      <w:proofErr w:type="spellStart"/>
      <w:r w:rsidRPr="00A46A0C">
        <w:rPr>
          <w:lang w:val="en-GB"/>
        </w:rPr>
        <w:t>calBP</w:t>
      </w:r>
      <w:proofErr w:type="spellEnd"/>
      <w:r w:rsidRPr="00A46A0C">
        <w:rPr>
          <w:lang w:val="en-GB"/>
        </w:rPr>
        <w:t>. Plant cultivation for</w:t>
      </w:r>
      <w:r w:rsidR="00A46A0C" w:rsidRPr="00A46A0C">
        <w:rPr>
          <w:lang w:val="en-GB"/>
        </w:rPr>
        <w:t xml:space="preserve"> </w:t>
      </w:r>
      <w:r w:rsidRPr="00A46A0C">
        <w:rPr>
          <w:lang w:val="en-GB"/>
        </w:rPr>
        <w:t>cereals and pulses is clearly documented for this time</w:t>
      </w:r>
      <w:r w:rsidR="00A46A0C" w:rsidRPr="00A46A0C">
        <w:rPr>
          <w:lang w:val="en-GB"/>
        </w:rPr>
        <w:t xml:space="preserve"> </w:t>
      </w:r>
      <w:r w:rsidRPr="00A46A0C">
        <w:rPr>
          <w:lang w:val="en-GB"/>
        </w:rPr>
        <w:t>period; representing the earliest evidence of plant</w:t>
      </w:r>
      <w:r w:rsidR="00A46A0C" w:rsidRPr="00A46A0C">
        <w:rPr>
          <w:lang w:val="en-GB"/>
        </w:rPr>
        <w:t xml:space="preserve"> </w:t>
      </w:r>
      <w:r w:rsidRPr="00A46A0C">
        <w:rPr>
          <w:lang w:val="en-GB"/>
        </w:rPr>
        <w:t>cultivation for the entire African continent. Two</w:t>
      </w:r>
      <w:r w:rsidR="00A46A0C" w:rsidRPr="00A46A0C">
        <w:rPr>
          <w:lang w:val="en-GB"/>
        </w:rPr>
        <w:t xml:space="preserve"> </w:t>
      </w:r>
      <w:r w:rsidRPr="00A46A0C">
        <w:rPr>
          <w:lang w:val="en-GB"/>
        </w:rPr>
        <w:t>important sites within the study area are the shelters</w:t>
      </w:r>
      <w:r w:rsidR="00A46A0C" w:rsidRPr="00A46A0C">
        <w:rPr>
          <w:lang w:val="en-GB"/>
        </w:rPr>
        <w:t xml:space="preserve"> </w:t>
      </w:r>
      <w:r w:rsidRPr="00A46A0C">
        <w:rPr>
          <w:lang w:val="en-GB"/>
        </w:rPr>
        <w:t>If</w:t>
      </w:r>
      <w:r w:rsidR="00A46A0C" w:rsidRPr="00A46A0C">
        <w:rPr>
          <w:lang w:val="en-GB"/>
        </w:rPr>
        <w:t>r</w:t>
      </w:r>
      <w:r w:rsidRPr="00A46A0C">
        <w:rPr>
          <w:lang w:val="en-GB"/>
        </w:rPr>
        <w:t>i Oudada</w:t>
      </w:r>
      <w:r w:rsidR="00A46A0C" w:rsidRPr="00A46A0C">
        <w:rPr>
          <w:lang w:val="en-GB"/>
        </w:rPr>
        <w:t>n</w:t>
      </w:r>
      <w:r w:rsidRPr="00A46A0C">
        <w:rPr>
          <w:lang w:val="en-GB"/>
        </w:rPr>
        <w:t>e a</w:t>
      </w:r>
      <w:r w:rsidR="00A46A0C" w:rsidRPr="00A46A0C">
        <w:rPr>
          <w:lang w:val="en-GB"/>
        </w:rPr>
        <w:t>n</w:t>
      </w:r>
      <w:r w:rsidRPr="00A46A0C">
        <w:rPr>
          <w:lang w:val="en-GB"/>
        </w:rPr>
        <w:t>d If</w:t>
      </w:r>
      <w:r w:rsidR="00A46A0C" w:rsidRPr="00A46A0C">
        <w:rPr>
          <w:lang w:val="en-GB"/>
        </w:rPr>
        <w:t>r</w:t>
      </w:r>
      <w:r w:rsidRPr="00A46A0C">
        <w:rPr>
          <w:lang w:val="en-GB"/>
        </w:rPr>
        <w:t xml:space="preserve">i </w:t>
      </w:r>
      <w:proofErr w:type="spellStart"/>
      <w:proofErr w:type="gramStart"/>
      <w:r w:rsidR="00A46A0C" w:rsidRPr="00A46A0C">
        <w:rPr>
          <w:lang w:val="en-GB"/>
        </w:rPr>
        <w:t>n‘</w:t>
      </w:r>
      <w:proofErr w:type="gramEnd"/>
      <w:r w:rsidRPr="00A46A0C">
        <w:rPr>
          <w:lang w:val="en-GB"/>
        </w:rPr>
        <w:t>Etsedda</w:t>
      </w:r>
      <w:proofErr w:type="spellEnd"/>
      <w:r w:rsidRPr="00A46A0C">
        <w:rPr>
          <w:lang w:val="en-GB"/>
        </w:rPr>
        <w:t>. Both provide</w:t>
      </w:r>
      <w:r w:rsidR="00A46A0C" w:rsidRPr="00A46A0C">
        <w:rPr>
          <w:lang w:val="en-GB"/>
        </w:rPr>
        <w:t xml:space="preserve"> </w:t>
      </w:r>
      <w:proofErr w:type="spellStart"/>
      <w:r w:rsidRPr="00A46A0C">
        <w:rPr>
          <w:lang w:val="en-GB"/>
        </w:rPr>
        <w:t>epipalaeolithic</w:t>
      </w:r>
      <w:proofErr w:type="spellEnd"/>
      <w:r w:rsidRPr="00A46A0C">
        <w:rPr>
          <w:lang w:val="en-GB"/>
        </w:rPr>
        <w:t xml:space="preserve"> as well as </w:t>
      </w:r>
      <w:proofErr w:type="spellStart"/>
      <w:r w:rsidRPr="00A46A0C">
        <w:rPr>
          <w:lang w:val="en-GB"/>
        </w:rPr>
        <w:t>neolithic</w:t>
      </w:r>
      <w:proofErr w:type="spellEnd"/>
      <w:r w:rsidRPr="00A46A0C">
        <w:rPr>
          <w:lang w:val="en-GB"/>
        </w:rPr>
        <w:t xml:space="preserve"> deposits. While</w:t>
      </w:r>
      <w:r w:rsidR="00A46A0C" w:rsidRPr="00A46A0C">
        <w:rPr>
          <w:lang w:val="en-GB"/>
        </w:rPr>
        <w:t xml:space="preserve"> </w:t>
      </w:r>
      <w:r w:rsidR="00321BA1" w:rsidRPr="00A46A0C">
        <w:rPr>
          <w:lang w:val="en-GB"/>
        </w:rPr>
        <w:t xml:space="preserve">lithic artefacts may bear witness to already existing technological and </w:t>
      </w:r>
      <w:proofErr w:type="spellStart"/>
      <w:r w:rsidR="00321BA1" w:rsidRPr="00A46A0C">
        <w:rPr>
          <w:lang w:val="en-GB"/>
        </w:rPr>
        <w:t>behavioral</w:t>
      </w:r>
      <w:proofErr w:type="spellEnd"/>
      <w:r w:rsidR="00321BA1" w:rsidRPr="00A46A0C">
        <w:rPr>
          <w:lang w:val="en-GB"/>
        </w:rPr>
        <w:t xml:space="preserve"> traditions</w:t>
      </w:r>
      <w:r w:rsidR="00321BA1">
        <w:rPr>
          <w:lang w:val="en-GB"/>
        </w:rPr>
        <w:t>,</w:t>
      </w:r>
      <w:r w:rsidR="00321BA1" w:rsidRPr="00A46A0C">
        <w:rPr>
          <w:lang w:val="en-GB"/>
        </w:rPr>
        <w:t xml:space="preserve"> </w:t>
      </w:r>
      <w:r w:rsidRPr="00A46A0C">
        <w:rPr>
          <w:lang w:val="en-GB"/>
        </w:rPr>
        <w:t>innovative technologies such as pottery production or</w:t>
      </w:r>
      <w:r w:rsidR="00A46A0C" w:rsidRPr="00A46A0C">
        <w:rPr>
          <w:lang w:val="en-GB"/>
        </w:rPr>
        <w:t xml:space="preserve"> </w:t>
      </w:r>
      <w:r w:rsidRPr="00A46A0C">
        <w:rPr>
          <w:lang w:val="en-GB"/>
        </w:rPr>
        <w:t>cultivation attest new external influences.</w:t>
      </w:r>
    </w:p>
    <w:p w:rsidR="00A46A0C" w:rsidRPr="00321BA1" w:rsidRDefault="00321BA1" w:rsidP="00A46A0C">
      <w:pPr>
        <w:rPr>
          <w:lang w:val="en-GB"/>
        </w:rPr>
      </w:pPr>
      <w:r w:rsidRPr="00A46A0C">
        <w:rPr>
          <w:lang w:val="en-GB"/>
        </w:rPr>
        <w:t>Whereas</w:t>
      </w:r>
      <w:r w:rsidR="00A46A0C" w:rsidRPr="00A46A0C">
        <w:rPr>
          <w:lang w:val="en-GB"/>
        </w:rPr>
        <w:t xml:space="preserve"> the pottery from Ifri Oudadane has already been presented, the publication of the pottery from Ifri </w:t>
      </w:r>
      <w:proofErr w:type="spellStart"/>
      <w:r w:rsidR="00A46A0C" w:rsidRPr="00A46A0C">
        <w:rPr>
          <w:lang w:val="en-GB"/>
        </w:rPr>
        <w:t>n'Etsedda</w:t>
      </w:r>
      <w:proofErr w:type="spellEnd"/>
      <w:r w:rsidR="00A46A0C" w:rsidRPr="00A46A0C">
        <w:rPr>
          <w:lang w:val="en-GB"/>
        </w:rPr>
        <w:t xml:space="preserve"> remained a desideratum. This paper now presents the pottery </w:t>
      </w:r>
      <w:r>
        <w:rPr>
          <w:lang w:val="en-GB"/>
        </w:rPr>
        <w:t>assemblage</w:t>
      </w:r>
      <w:r w:rsidR="00A46A0C" w:rsidRPr="00A46A0C">
        <w:rPr>
          <w:lang w:val="en-GB"/>
        </w:rPr>
        <w:t xml:space="preserve"> of the </w:t>
      </w:r>
      <w:r>
        <w:rPr>
          <w:lang w:val="en-GB"/>
        </w:rPr>
        <w:t>later</w:t>
      </w:r>
      <w:r w:rsidR="00A46A0C" w:rsidRPr="00A46A0C">
        <w:rPr>
          <w:lang w:val="en-GB"/>
        </w:rPr>
        <w:t xml:space="preserve">. The Early Neolithic deposits date 7.2 and 6.1 ka </w:t>
      </w:r>
      <w:proofErr w:type="spellStart"/>
      <w:r w:rsidR="00A46A0C" w:rsidRPr="00A46A0C">
        <w:rPr>
          <w:lang w:val="en-GB"/>
        </w:rPr>
        <w:t>calBP</w:t>
      </w:r>
      <w:proofErr w:type="spellEnd"/>
      <w:r w:rsidR="00A46A0C" w:rsidRPr="00A46A0C">
        <w:rPr>
          <w:lang w:val="en-GB"/>
        </w:rPr>
        <w:t xml:space="preserve">, overlain by a Late Neolithic layer. The settlement focus is the late Early Neolithic C between 6.6 and 6.1 ka </w:t>
      </w:r>
      <w:proofErr w:type="spellStart"/>
      <w:r w:rsidR="00A46A0C" w:rsidRPr="00A46A0C">
        <w:rPr>
          <w:lang w:val="en-GB"/>
        </w:rPr>
        <w:t>calBP</w:t>
      </w:r>
      <w:proofErr w:type="spellEnd"/>
      <w:r w:rsidR="00A46A0C" w:rsidRPr="00A46A0C">
        <w:rPr>
          <w:lang w:val="en-GB"/>
        </w:rPr>
        <w:t>.</w:t>
      </w:r>
      <w:r>
        <w:rPr>
          <w:lang w:val="en-GB"/>
        </w:rPr>
        <w:t xml:space="preserve"> While the Pottery at the Beginning of the early Neolithic is mostly decorated with </w:t>
      </w:r>
      <w:proofErr w:type="spellStart"/>
      <w:r w:rsidRPr="00321BA1">
        <w:rPr>
          <w:lang w:val="en-GB"/>
        </w:rPr>
        <w:t>Cardium</w:t>
      </w:r>
      <w:proofErr w:type="spellEnd"/>
      <w:r w:rsidRPr="00321BA1">
        <w:rPr>
          <w:lang w:val="en-GB"/>
        </w:rPr>
        <w:t xml:space="preserve"> </w:t>
      </w:r>
      <w:r>
        <w:rPr>
          <w:lang w:val="en-GB"/>
        </w:rPr>
        <w:t>impressions</w:t>
      </w:r>
      <w:r w:rsidRPr="00321BA1">
        <w:rPr>
          <w:lang w:val="en-GB"/>
        </w:rPr>
        <w:t xml:space="preserve"> using rocker stamp technique</w:t>
      </w:r>
      <w:r>
        <w:rPr>
          <w:lang w:val="en-GB"/>
        </w:rPr>
        <w:t>, the later material provides a so-called “</w:t>
      </w:r>
      <w:r w:rsidRPr="00321BA1">
        <w:rPr>
          <w:lang w:val="en-GB"/>
        </w:rPr>
        <w:t>Herring-bone” motif using a non denticulated shell</w:t>
      </w:r>
      <w:r>
        <w:rPr>
          <w:lang w:val="en-GB"/>
        </w:rPr>
        <w:t>s or combs.</w:t>
      </w:r>
    </w:p>
    <w:p w:rsidR="004B2B95" w:rsidRPr="00E2511D" w:rsidRDefault="004B2B95" w:rsidP="004B2B95">
      <w:pPr>
        <w:rPr>
          <w:lang w:val="en-GB"/>
        </w:rPr>
      </w:pPr>
    </w:p>
    <w:sectPr w:rsidR="004B2B95" w:rsidRPr="00E2511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11D"/>
    <w:rsid w:val="00311FCF"/>
    <w:rsid w:val="00321BA1"/>
    <w:rsid w:val="004B2B95"/>
    <w:rsid w:val="00A46A0C"/>
    <w:rsid w:val="00E25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51BC7"/>
  <w15:chartTrackingRefBased/>
  <w15:docId w15:val="{0771D976-93B1-4A86-BF7A-5E279B9ED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Deutsches Archäologisches Institut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Joerg Linstaedter</dc:creator>
  <cp:keywords/>
  <dc:description/>
  <cp:lastModifiedBy>Joerg Linstaedter</cp:lastModifiedBy>
  <cp:revision>2</cp:revision>
  <dcterms:created xsi:type="dcterms:W3CDTF">2021-04-30T12:15:00Z</dcterms:created>
  <dcterms:modified xsi:type="dcterms:W3CDTF">2021-04-30T15:28:00Z</dcterms:modified>
</cp:coreProperties>
</file>