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3C" w:rsidRDefault="00B87BBB" w:rsidP="00B87BBB">
      <w:pPr>
        <w:jc w:val="center"/>
        <w:rPr>
          <w:rFonts w:ascii="Times New Roman" w:hAnsi="Times New Roman" w:cs="Times New Roman"/>
          <w:b/>
          <w:sz w:val="24"/>
          <w:szCs w:val="18"/>
        </w:rPr>
      </w:pPr>
      <w:bookmarkStart w:id="0" w:name="_GoBack"/>
      <w:r w:rsidRPr="00B87BBB">
        <w:rPr>
          <w:rFonts w:ascii="Times New Roman" w:hAnsi="Times New Roman" w:cs="Times New Roman"/>
          <w:b/>
          <w:sz w:val="24"/>
          <w:szCs w:val="18"/>
        </w:rPr>
        <w:t xml:space="preserve">La gestion des sites préhistoriques </w:t>
      </w:r>
      <w:bookmarkEnd w:id="0"/>
      <w:r w:rsidRPr="00B87BBB">
        <w:rPr>
          <w:rFonts w:ascii="Times New Roman" w:hAnsi="Times New Roman" w:cs="Times New Roman"/>
          <w:b/>
          <w:sz w:val="24"/>
          <w:szCs w:val="18"/>
        </w:rPr>
        <w:t>et la dynamique des sociétés contemporaines</w:t>
      </w:r>
      <w:r>
        <w:rPr>
          <w:rFonts w:ascii="Times New Roman" w:hAnsi="Times New Roman" w:cs="Times New Roman"/>
          <w:b/>
          <w:sz w:val="24"/>
          <w:szCs w:val="18"/>
        </w:rPr>
        <w:br/>
      </w:r>
      <w:r w:rsidRPr="00B87BBB">
        <w:rPr>
          <w:rFonts w:ascii="Times New Roman" w:hAnsi="Times New Roman" w:cs="Times New Roman"/>
          <w:b/>
          <w:sz w:val="24"/>
          <w:szCs w:val="18"/>
        </w:rPr>
        <w:t xml:space="preserve"> en Afrique de l’Ouest</w:t>
      </w:r>
    </w:p>
    <w:p w:rsidR="00B87BBB" w:rsidRDefault="00B87BBB" w:rsidP="00B87BBB">
      <w:pPr>
        <w:jc w:val="center"/>
        <w:rPr>
          <w:rFonts w:ascii="Times New Roman" w:hAnsi="Times New Roman" w:cs="Times New Roman"/>
          <w:sz w:val="24"/>
          <w:szCs w:val="18"/>
          <w:lang w:val="en-GB"/>
        </w:rPr>
      </w:pPr>
      <w:proofErr w:type="spellStart"/>
      <w:r w:rsidRPr="00B87BBB">
        <w:rPr>
          <w:rFonts w:ascii="Times New Roman" w:hAnsi="Times New Roman" w:cs="Times New Roman"/>
          <w:sz w:val="24"/>
          <w:szCs w:val="18"/>
          <w:lang w:val="en-GB"/>
        </w:rPr>
        <w:t>Abdoulaye</w:t>
      </w:r>
      <w:proofErr w:type="spellEnd"/>
      <w:r w:rsidRPr="00B87BBB">
        <w:rPr>
          <w:rFonts w:ascii="Times New Roman" w:hAnsi="Times New Roman" w:cs="Times New Roman"/>
          <w:sz w:val="24"/>
          <w:szCs w:val="18"/>
          <w:lang w:val="en-GB"/>
        </w:rPr>
        <w:t xml:space="preserve"> </w:t>
      </w:r>
      <w:proofErr w:type="spellStart"/>
      <w:r w:rsidRPr="00B87BBB">
        <w:rPr>
          <w:rFonts w:ascii="Times New Roman" w:hAnsi="Times New Roman" w:cs="Times New Roman"/>
          <w:sz w:val="24"/>
          <w:szCs w:val="18"/>
          <w:lang w:val="en-GB"/>
        </w:rPr>
        <w:t>Camara</w:t>
      </w:r>
      <w:proofErr w:type="spellEnd"/>
      <w:r w:rsidRPr="00B87BBB">
        <w:rPr>
          <w:rFonts w:ascii="Times New Roman" w:hAnsi="Times New Roman" w:cs="Times New Roman"/>
          <w:sz w:val="24"/>
          <w:szCs w:val="18"/>
          <w:lang w:val="en-GB"/>
        </w:rPr>
        <w:t xml:space="preserve"> </w:t>
      </w:r>
    </w:p>
    <w:p w:rsidR="00B87BBB" w:rsidRDefault="00B87BBB" w:rsidP="00B87BBB">
      <w:pPr>
        <w:jc w:val="center"/>
        <w:rPr>
          <w:rFonts w:ascii="Times New Roman" w:hAnsi="Times New Roman" w:cs="Times New Roman"/>
          <w:sz w:val="24"/>
          <w:szCs w:val="18"/>
          <w:lang w:val="en-GB"/>
        </w:rPr>
      </w:pPr>
    </w:p>
    <w:p w:rsidR="00B87BBB" w:rsidRPr="000978DE" w:rsidRDefault="00B87BBB" w:rsidP="00B87BBB">
      <w:pPr>
        <w:spacing w:before="100" w:beforeAutospacing="1" w:after="100" w:afterAutospacing="1"/>
        <w:jc w:val="both"/>
        <w:rPr>
          <w:rFonts w:ascii="Times New Roman" w:eastAsia="Times New Roman" w:hAnsi="Times New Roman" w:cs="Times New Roman"/>
          <w:sz w:val="18"/>
          <w:szCs w:val="18"/>
          <w:lang w:eastAsia="fr-FR"/>
        </w:rPr>
      </w:pPr>
      <w:r w:rsidRPr="000978DE">
        <w:rPr>
          <w:rFonts w:ascii="Times New Roman" w:hAnsi="Times New Roman" w:cs="Times New Roman"/>
          <w:sz w:val="18"/>
          <w:szCs w:val="18"/>
        </w:rPr>
        <w:t xml:space="preserve">En Afrique de l’Ouest, les sites préhistoriques sont peu connus par rapport aux monuments protohistoriques ; aussi, les moyens humains et techniques à leur disposition restent très limités.  Néanmoins, les découvertes actuelles confirment l’existence de nombreux sites stratifiés </w:t>
      </w:r>
      <w:r w:rsidRPr="000978DE">
        <w:rPr>
          <w:rFonts w:ascii="Times New Roman" w:eastAsia="Times New Roman" w:hAnsi="Times New Roman" w:cs="Times New Roman"/>
          <w:sz w:val="18"/>
          <w:szCs w:val="18"/>
          <w:lang w:eastAsia="fr-FR"/>
        </w:rPr>
        <w:t>de chasseurs-cueilleurs, de pasteurs et d’agriculteurs ainsi que des traces qui corroborent des</w:t>
      </w:r>
      <w:r w:rsidRPr="000978DE">
        <w:rPr>
          <w:rFonts w:ascii="Times New Roman" w:hAnsi="Times New Roman" w:cs="Times New Roman"/>
          <w:sz w:val="18"/>
          <w:szCs w:val="18"/>
        </w:rPr>
        <w:t xml:space="preserve"> conditions climatiques favorables à l’occupation humaine.</w:t>
      </w:r>
    </w:p>
    <w:p w:rsidR="00B87BBB" w:rsidRPr="000978DE" w:rsidRDefault="00B87BBB" w:rsidP="00B87BBB">
      <w:pPr>
        <w:pStyle w:val="NormalWeb"/>
        <w:jc w:val="both"/>
        <w:rPr>
          <w:sz w:val="18"/>
          <w:szCs w:val="18"/>
        </w:rPr>
      </w:pPr>
      <w:r w:rsidRPr="000978DE">
        <w:rPr>
          <w:sz w:val="18"/>
          <w:szCs w:val="18"/>
        </w:rPr>
        <w:t>Bien des preuves de leurs activités (bifaces et hachereaux du paléolithique ancien, armatures bifaciales et de pointes de flèche du paléolithique final, meules et molettes, gravures et peintures rupestres, harpons, haches, pièces microlithiques du Néolithique…), en surface dans les zones désertiques, ne sont pas épargnées par pillage ou le trafic.</w:t>
      </w:r>
    </w:p>
    <w:p w:rsidR="00B87BBB" w:rsidRPr="000978DE" w:rsidRDefault="00B87BBB" w:rsidP="00B87BBB">
      <w:pPr>
        <w:spacing w:before="100" w:beforeAutospacing="1" w:after="100" w:afterAutospacing="1"/>
        <w:jc w:val="both"/>
        <w:rPr>
          <w:rFonts w:ascii="Times New Roman" w:hAnsi="Times New Roman" w:cs="Times New Roman"/>
          <w:sz w:val="18"/>
          <w:szCs w:val="18"/>
        </w:rPr>
      </w:pPr>
      <w:r w:rsidRPr="000978DE">
        <w:rPr>
          <w:rFonts w:ascii="Times New Roman" w:eastAsia="Times New Roman" w:hAnsi="Times New Roman" w:cs="Times New Roman"/>
          <w:sz w:val="18"/>
          <w:szCs w:val="18"/>
          <w:lang w:eastAsia="fr-FR"/>
        </w:rPr>
        <w:t xml:space="preserve">Aucun site préhistorique ne figure sur la Liste du patrimoine mondial de l’UNESCO. </w:t>
      </w:r>
      <w:r w:rsidRPr="000978DE">
        <w:rPr>
          <w:rFonts w:ascii="Times New Roman" w:hAnsi="Times New Roman" w:cs="Times New Roman"/>
          <w:sz w:val="18"/>
          <w:szCs w:val="18"/>
        </w:rPr>
        <w:t xml:space="preserve">Un seul site, celui du Parc W au Niger, mettant en valeur un peuplement paléolithique ancien, est présent sur une liste indicative. Sur les listes de sites et monuments classés des différents pays, </w:t>
      </w:r>
      <w:r w:rsidRPr="000978DE">
        <w:rPr>
          <w:rFonts w:ascii="Times New Roman" w:eastAsia="Times New Roman" w:hAnsi="Times New Roman" w:cs="Times New Roman"/>
          <w:sz w:val="18"/>
          <w:szCs w:val="18"/>
          <w:lang w:eastAsia="fr-FR"/>
        </w:rPr>
        <w:t xml:space="preserve">de rares sites sont indiqués, mais aucun </w:t>
      </w:r>
      <w:r w:rsidRPr="000978DE">
        <w:rPr>
          <w:rFonts w:ascii="Times New Roman" w:hAnsi="Times New Roman" w:cs="Times New Roman"/>
          <w:sz w:val="18"/>
          <w:szCs w:val="18"/>
        </w:rPr>
        <w:t>n’est délimité, ou ne dispose d’une zone tampon, ou d’un plan de gestion leur assurant une protection.</w:t>
      </w:r>
    </w:p>
    <w:p w:rsidR="00B87BBB" w:rsidRPr="00B87BBB" w:rsidRDefault="00B87BBB" w:rsidP="00B87BBB">
      <w:pPr>
        <w:jc w:val="both"/>
        <w:rPr>
          <w:rFonts w:ascii="Times New Roman" w:hAnsi="Times New Roman" w:cs="Times New Roman"/>
          <w:sz w:val="24"/>
          <w:szCs w:val="18"/>
          <w:lang w:val="en-GB"/>
        </w:rPr>
      </w:pPr>
      <w:r w:rsidRPr="000978DE">
        <w:rPr>
          <w:rFonts w:ascii="Times New Roman" w:hAnsi="Times New Roman" w:cs="Times New Roman"/>
          <w:sz w:val="18"/>
          <w:szCs w:val="18"/>
        </w:rPr>
        <w:t xml:space="preserve">La reconnaissance par les archéologues nationaux des sites préhistoriques et leur classement par les autorités ne les mettent pas forcément à l’abri. En absence d’une archéologie préventive menée en parallèle aux grands travaux de développement </w:t>
      </w:r>
      <w:r w:rsidRPr="000978DE">
        <w:rPr>
          <w:rFonts w:ascii="Times New Roman" w:hAnsi="Times New Roman" w:cs="Times New Roman"/>
          <w:sz w:val="18"/>
          <w:szCs w:val="18"/>
          <w:lang w:eastAsia="fr-FR"/>
        </w:rPr>
        <w:t xml:space="preserve">(aménagement agricole, réalisation d’infrastructures routières, extension des zones urbaines), leur existence est </w:t>
      </w:r>
      <w:r w:rsidRPr="000978DE">
        <w:rPr>
          <w:rFonts w:ascii="Times New Roman" w:hAnsi="Times New Roman" w:cs="Times New Roman"/>
          <w:sz w:val="18"/>
          <w:szCs w:val="18"/>
        </w:rPr>
        <w:t xml:space="preserve">menacée. La conservation des sites préhistoriques est essentielle pour la </w:t>
      </w:r>
      <w:r w:rsidRPr="000978DE">
        <w:rPr>
          <w:rFonts w:ascii="Times New Roman" w:hAnsi="Times New Roman" w:cs="Times New Roman"/>
          <w:sz w:val="18"/>
          <w:szCs w:val="18"/>
          <w:lang w:eastAsia="fr-FR"/>
        </w:rPr>
        <w:t xml:space="preserve">connaissance des anciennes activités humaines et de leur </w:t>
      </w:r>
      <w:proofErr w:type="spellStart"/>
      <w:r w:rsidRPr="000978DE">
        <w:rPr>
          <w:rFonts w:ascii="Times New Roman" w:hAnsi="Times New Roman" w:cs="Times New Roman"/>
          <w:sz w:val="18"/>
          <w:szCs w:val="18"/>
          <w:lang w:eastAsia="fr-FR"/>
        </w:rPr>
        <w:t>paléoenvironnement</w:t>
      </w:r>
      <w:proofErr w:type="spellEnd"/>
      <w:r w:rsidRPr="000978DE">
        <w:rPr>
          <w:rFonts w:ascii="Times New Roman" w:hAnsi="Times New Roman" w:cs="Times New Roman"/>
          <w:sz w:val="18"/>
          <w:szCs w:val="18"/>
          <w:lang w:eastAsia="fr-FR"/>
        </w:rPr>
        <w:t>.</w:t>
      </w:r>
    </w:p>
    <w:p w:rsidR="00B87BBB" w:rsidRPr="00B87BBB" w:rsidRDefault="00B87BBB" w:rsidP="00B87BBB">
      <w:pPr>
        <w:jc w:val="center"/>
        <w:rPr>
          <w:sz w:val="24"/>
          <w:szCs w:val="24"/>
        </w:rPr>
      </w:pPr>
    </w:p>
    <w:sectPr w:rsidR="00B87BBB" w:rsidRPr="00B87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BB"/>
    <w:rsid w:val="003A443C"/>
    <w:rsid w:val="00B87B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B4896-77F2-4447-AA80-A895E27B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87BBB"/>
    <w:rPr>
      <w:color w:val="0563C1" w:themeColor="hyperlink"/>
      <w:u w:val="single"/>
    </w:rPr>
  </w:style>
  <w:style w:type="paragraph" w:styleId="NormalWeb">
    <w:name w:val="Normal (Web)"/>
    <w:basedOn w:val="Normal"/>
    <w:uiPriority w:val="99"/>
    <w:semiHidden/>
    <w:unhideWhenUsed/>
    <w:rsid w:val="00B87B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1560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2021-06-15T22:37:00Z</dcterms:created>
  <dcterms:modified xsi:type="dcterms:W3CDTF">2021-06-15T22:40:00Z</dcterms:modified>
</cp:coreProperties>
</file>