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9BB9A" w14:textId="77777777" w:rsidR="005D25F2" w:rsidRPr="00F6752C" w:rsidRDefault="00157982" w:rsidP="005D25F2">
      <w:pPr>
        <w:kinsoku w:val="0"/>
        <w:overflowPunct w:val="0"/>
        <w:spacing w:after="0" w:line="240" w:lineRule="auto"/>
        <w:ind w:left="-284" w:right="567"/>
        <w:jc w:val="center"/>
        <w:textAlignment w:val="baseline"/>
        <w:rPr>
          <w:rFonts w:ascii="Garamond" w:eastAsia="+mn-ea" w:hAnsi="Garamond" w:cs="Calibri"/>
          <w:b/>
          <w:color w:val="000000"/>
          <w:kern w:val="24"/>
          <w:szCs w:val="20"/>
          <w:lang w:eastAsia="fr-FR"/>
        </w:rPr>
      </w:pPr>
      <w:r w:rsidRPr="00F6752C">
        <w:rPr>
          <w:rFonts w:ascii="Garamond" w:eastAsia="Times New Roman" w:hAnsi="Garamond" w:cs="Times New Roman"/>
          <w:b/>
          <w:bCs/>
          <w:szCs w:val="20"/>
          <w:lang w:eastAsia="fr-FR"/>
        </w:rPr>
        <w:t>LE</w:t>
      </w:r>
      <w:r w:rsidRPr="00F6752C">
        <w:rPr>
          <w:rFonts w:ascii="Garamond" w:eastAsia="+mn-ea" w:hAnsi="Garamond" w:cs="Calibri"/>
          <w:b/>
          <w:bCs/>
          <w:color w:val="000000"/>
          <w:kern w:val="24"/>
          <w:szCs w:val="20"/>
          <w:lang w:eastAsia="fr-FR"/>
        </w:rPr>
        <w:t xml:space="preserve"> MOUSTERIEN</w:t>
      </w:r>
      <w:r w:rsidRPr="00F6752C">
        <w:rPr>
          <w:rFonts w:ascii="Garamond" w:eastAsia="+mn-ea" w:hAnsi="Garamond" w:cs="Calibri"/>
          <w:b/>
          <w:color w:val="000000"/>
          <w:kern w:val="24"/>
          <w:szCs w:val="20"/>
          <w:lang w:eastAsia="fr-FR"/>
        </w:rPr>
        <w:t xml:space="preserve"> ET/OU L’ATERIEN ET L’IBEROMAURUSIEN</w:t>
      </w:r>
    </w:p>
    <w:p w14:paraId="369F1030" w14:textId="77777777" w:rsidR="005D25F2" w:rsidRPr="00F6752C" w:rsidRDefault="00157982" w:rsidP="00157982">
      <w:pPr>
        <w:kinsoku w:val="0"/>
        <w:overflowPunct w:val="0"/>
        <w:spacing w:after="0" w:line="240" w:lineRule="auto"/>
        <w:ind w:left="-284" w:right="567"/>
        <w:jc w:val="center"/>
        <w:textAlignment w:val="baseline"/>
        <w:rPr>
          <w:rFonts w:ascii="Garamond" w:eastAsia="+mn-ea" w:hAnsi="Garamond" w:cs="Calibri"/>
          <w:b/>
          <w:color w:val="000000"/>
          <w:kern w:val="24"/>
          <w:szCs w:val="20"/>
          <w:lang w:eastAsia="fr-FR"/>
        </w:rPr>
      </w:pPr>
      <w:r w:rsidRPr="00F6752C">
        <w:rPr>
          <w:rFonts w:ascii="Garamond" w:eastAsia="+mn-ea" w:hAnsi="Garamond" w:cs="Calibri"/>
          <w:b/>
          <w:color w:val="000000"/>
          <w:kern w:val="24"/>
          <w:szCs w:val="20"/>
          <w:lang w:eastAsia="fr-FR"/>
        </w:rPr>
        <w:t>DANS LE CONTEXTE LITTORAL MAGHREB MEDITERRANEEN</w:t>
      </w:r>
    </w:p>
    <w:p w14:paraId="31E26820" w14:textId="77777777" w:rsidR="00F6752C" w:rsidRDefault="00F6752C" w:rsidP="00157982">
      <w:pPr>
        <w:kinsoku w:val="0"/>
        <w:overflowPunct w:val="0"/>
        <w:spacing w:after="0" w:line="240" w:lineRule="auto"/>
        <w:ind w:left="-284" w:right="567"/>
        <w:jc w:val="center"/>
        <w:textAlignment w:val="baseline"/>
        <w:rPr>
          <w:rFonts w:ascii="Garamond" w:eastAsia="+mn-ea" w:hAnsi="Garamond" w:cs="Calibri"/>
          <w:b/>
          <w:color w:val="000000"/>
          <w:kern w:val="24"/>
          <w:sz w:val="20"/>
          <w:szCs w:val="20"/>
          <w:lang w:eastAsia="fr-FR"/>
        </w:rPr>
      </w:pPr>
    </w:p>
    <w:p w14:paraId="5B5B56EC" w14:textId="7D298842" w:rsidR="00F6752C" w:rsidRDefault="00F6752C" w:rsidP="00F6752C">
      <w:pPr>
        <w:shd w:val="clear" w:color="auto" w:fill="FFFFFF"/>
        <w:spacing w:after="0" w:line="240" w:lineRule="auto"/>
        <w:ind w:left="-284" w:right="567"/>
        <w:jc w:val="center"/>
        <w:rPr>
          <w:rFonts w:ascii="Garamond" w:eastAsia="Times New Roman" w:hAnsi="Garamond" w:cs="Times New Roman"/>
          <w:b/>
          <w:bCs/>
          <w:szCs w:val="16"/>
          <w:vertAlign w:val="superscript"/>
          <w:lang w:eastAsia="fr-FR"/>
        </w:rPr>
      </w:pPr>
      <w:proofErr w:type="spellStart"/>
      <w:r w:rsidRPr="00F6752C">
        <w:rPr>
          <w:rFonts w:ascii="Garamond" w:eastAsia="Times New Roman" w:hAnsi="Garamond" w:cs="Times New Roman"/>
          <w:b/>
          <w:bCs/>
          <w:szCs w:val="16"/>
          <w:lang w:eastAsia="fr-FR"/>
        </w:rPr>
        <w:t>Betrouni</w:t>
      </w:r>
      <w:proofErr w:type="spellEnd"/>
      <w:r w:rsidRPr="00F6752C">
        <w:rPr>
          <w:rFonts w:ascii="Garamond" w:eastAsia="Times New Roman" w:hAnsi="Garamond" w:cs="Times New Roman"/>
          <w:b/>
          <w:bCs/>
          <w:szCs w:val="16"/>
          <w:lang w:eastAsia="fr-FR"/>
        </w:rPr>
        <w:t xml:space="preserve"> Mourad</w:t>
      </w:r>
      <w:r w:rsidRPr="00F6752C">
        <w:rPr>
          <w:rFonts w:ascii="Garamond" w:eastAsia="Times New Roman" w:hAnsi="Garamond" w:cs="Times New Roman"/>
          <w:b/>
          <w:bCs/>
          <w:sz w:val="24"/>
          <w:szCs w:val="16"/>
          <w:vertAlign w:val="superscript"/>
          <w:lang w:eastAsia="fr-FR"/>
        </w:rPr>
        <w:t>1</w:t>
      </w:r>
    </w:p>
    <w:p w14:paraId="4A29E9EE" w14:textId="77777777" w:rsidR="00F6752C" w:rsidRPr="00F6752C" w:rsidRDefault="00F6752C" w:rsidP="00F6752C">
      <w:pPr>
        <w:shd w:val="clear" w:color="auto" w:fill="FFFFFF"/>
        <w:spacing w:after="0" w:line="240" w:lineRule="auto"/>
        <w:ind w:left="-284" w:right="567"/>
        <w:jc w:val="center"/>
        <w:rPr>
          <w:rFonts w:ascii="Garamond" w:eastAsia="Times New Roman" w:hAnsi="Garamond" w:cs="Times New Roman"/>
          <w:b/>
          <w:bCs/>
          <w:szCs w:val="16"/>
          <w:lang w:eastAsia="fr-FR"/>
        </w:rPr>
      </w:pPr>
    </w:p>
    <w:p w14:paraId="5A22951E" w14:textId="56520F4B" w:rsidR="00F6752C" w:rsidRPr="00F6752C" w:rsidRDefault="00F6752C" w:rsidP="00F6752C">
      <w:pPr>
        <w:pStyle w:val="Paragraphedeliste"/>
        <w:numPr>
          <w:ilvl w:val="0"/>
          <w:numId w:val="1"/>
        </w:numPr>
        <w:shd w:val="clear" w:color="auto" w:fill="FFFFFF"/>
        <w:spacing w:after="0" w:line="240" w:lineRule="auto"/>
        <w:ind w:right="567"/>
        <w:jc w:val="both"/>
        <w:rPr>
          <w:rFonts w:ascii="Garamond" w:eastAsia="Times New Roman" w:hAnsi="Garamond" w:cs="Times New Roman"/>
          <w:b/>
          <w:bCs/>
          <w:sz w:val="16"/>
          <w:szCs w:val="16"/>
          <w:lang w:eastAsia="fr-FR"/>
        </w:rPr>
      </w:pPr>
      <w:r w:rsidRPr="00F6752C">
        <w:rPr>
          <w:rFonts w:ascii="Garamond" w:eastAsia="Times New Roman" w:hAnsi="Garamond" w:cs="Times New Roman"/>
          <w:b/>
          <w:bCs/>
          <w:sz w:val="16"/>
          <w:szCs w:val="16"/>
          <w:lang w:eastAsia="fr-FR"/>
        </w:rPr>
        <w:t>Directeur de recherches en préhistoire et géologie du quaternaire</w:t>
      </w:r>
    </w:p>
    <w:p w14:paraId="7BBF83A0" w14:textId="77777777" w:rsidR="00F6752C" w:rsidRPr="001F3CB1" w:rsidRDefault="00F6752C" w:rsidP="00F6752C">
      <w:pPr>
        <w:shd w:val="clear" w:color="auto" w:fill="FFFFFF"/>
        <w:spacing w:after="0" w:line="240" w:lineRule="auto"/>
        <w:ind w:left="-284" w:right="567"/>
        <w:jc w:val="both"/>
        <w:rPr>
          <w:rFonts w:ascii="Garamond" w:eastAsia="Times New Roman" w:hAnsi="Garamond" w:cs="Times New Roman"/>
          <w:b/>
          <w:bCs/>
          <w:sz w:val="16"/>
          <w:szCs w:val="16"/>
          <w:lang w:eastAsia="fr-FR"/>
        </w:rPr>
      </w:pPr>
      <w:r>
        <w:rPr>
          <w:rFonts w:ascii="Garamond" w:eastAsia="Times New Roman" w:hAnsi="Garamond" w:cs="Times New Roman"/>
          <w:b/>
          <w:bCs/>
          <w:sz w:val="16"/>
          <w:szCs w:val="16"/>
          <w:lang w:eastAsia="fr-FR"/>
        </w:rPr>
        <w:t>C</w:t>
      </w:r>
      <w:r w:rsidRPr="001F3CB1">
        <w:rPr>
          <w:rFonts w:ascii="Garamond" w:eastAsia="Times New Roman" w:hAnsi="Garamond" w:cs="Times New Roman"/>
          <w:b/>
          <w:bCs/>
          <w:sz w:val="16"/>
          <w:szCs w:val="16"/>
          <w:lang w:eastAsia="fr-FR"/>
        </w:rPr>
        <w:t>entre national de recherches préhistoriques, anthropologiques et historiques (CNRPAH)</w:t>
      </w:r>
    </w:p>
    <w:p w14:paraId="55C155C9" w14:textId="77777777" w:rsidR="00F6752C" w:rsidRPr="00F6752C" w:rsidRDefault="00F6752C" w:rsidP="00F6752C">
      <w:pPr>
        <w:kinsoku w:val="0"/>
        <w:overflowPunct w:val="0"/>
        <w:spacing w:after="0" w:line="240" w:lineRule="auto"/>
        <w:ind w:left="-284" w:right="567"/>
        <w:textAlignment w:val="baseline"/>
        <w:rPr>
          <w:rFonts w:ascii="Garamond" w:eastAsia="+mn-ea" w:hAnsi="Garamond" w:cs="Calibri"/>
          <w:b/>
          <w:color w:val="000000"/>
          <w:kern w:val="24"/>
          <w:sz w:val="20"/>
          <w:szCs w:val="20"/>
          <w:lang w:eastAsia="fr-FR"/>
        </w:rPr>
      </w:pPr>
    </w:p>
    <w:p w14:paraId="0F3CC40D" w14:textId="77777777" w:rsidR="00D7462A" w:rsidRPr="00045305" w:rsidRDefault="00D7462A" w:rsidP="001F3CB1">
      <w:pPr>
        <w:shd w:val="clear" w:color="auto" w:fill="FFFFFF"/>
        <w:spacing w:after="0" w:line="240" w:lineRule="auto"/>
        <w:ind w:right="567"/>
        <w:jc w:val="both"/>
        <w:rPr>
          <w:rFonts w:ascii="Garamond" w:eastAsia="Times New Roman" w:hAnsi="Garamond" w:cs="Times New Roman"/>
          <w:sz w:val="20"/>
          <w:szCs w:val="20"/>
          <w:lang w:eastAsia="fr-FR"/>
        </w:rPr>
      </w:pPr>
    </w:p>
    <w:p w14:paraId="2E34E884" w14:textId="434682B5" w:rsidR="00392F8C" w:rsidRDefault="00D7462A" w:rsidP="001A1FFD">
      <w:pPr>
        <w:shd w:val="clear" w:color="auto" w:fill="FFFFFF"/>
        <w:spacing w:after="0" w:line="240" w:lineRule="auto"/>
        <w:ind w:left="-284" w:right="567"/>
        <w:jc w:val="both"/>
        <w:rPr>
          <w:rFonts w:ascii="Garamond" w:eastAsia="Times New Roman" w:hAnsi="Garamond" w:cs="Times New Roman"/>
          <w:sz w:val="20"/>
          <w:szCs w:val="20"/>
          <w:lang w:eastAsia="fr-FR"/>
        </w:rPr>
      </w:pPr>
      <w:bookmarkStart w:id="0" w:name="_GoBack"/>
      <w:r w:rsidRPr="00045305">
        <w:rPr>
          <w:rFonts w:ascii="Garamond" w:eastAsia="Times New Roman" w:hAnsi="Garamond" w:cs="Times New Roman"/>
          <w:sz w:val="20"/>
          <w:szCs w:val="20"/>
          <w:lang w:eastAsia="fr-FR"/>
        </w:rPr>
        <w:t xml:space="preserve">C’est sur le littoral Maghreb méditerranéen que s’offre, le plus surement, le schéma chrono-culturel du </w:t>
      </w:r>
      <w:r w:rsidRPr="00045305">
        <w:rPr>
          <w:rFonts w:ascii="Garamond" w:eastAsia="Times New Roman" w:hAnsi="Garamond" w:cs="Times New Roman"/>
          <w:b/>
          <w:bCs/>
          <w:sz w:val="20"/>
          <w:szCs w:val="20"/>
          <w:lang w:eastAsia="fr-FR"/>
        </w:rPr>
        <w:t>M</w:t>
      </w:r>
      <w:r w:rsidRPr="00045305">
        <w:rPr>
          <w:rFonts w:ascii="Garamond" w:eastAsia="Times New Roman" w:hAnsi="Garamond" w:cs="Times New Roman"/>
          <w:sz w:val="20"/>
          <w:szCs w:val="20"/>
          <w:lang w:eastAsia="fr-FR"/>
        </w:rPr>
        <w:t>oustérien et/ou l’</w:t>
      </w:r>
      <w:r w:rsidRPr="00045305">
        <w:rPr>
          <w:rFonts w:ascii="Garamond" w:eastAsia="Times New Roman" w:hAnsi="Garamond" w:cs="Times New Roman"/>
          <w:b/>
          <w:bCs/>
          <w:sz w:val="20"/>
          <w:szCs w:val="20"/>
          <w:lang w:eastAsia="fr-FR"/>
        </w:rPr>
        <w:t>A</w:t>
      </w:r>
      <w:r w:rsidRPr="00045305">
        <w:rPr>
          <w:rFonts w:ascii="Garamond" w:eastAsia="Times New Roman" w:hAnsi="Garamond" w:cs="Times New Roman"/>
          <w:sz w:val="20"/>
          <w:szCs w:val="20"/>
          <w:lang w:eastAsia="fr-FR"/>
        </w:rPr>
        <w:t>térien et de l’</w:t>
      </w:r>
      <w:r w:rsidRPr="00045305">
        <w:rPr>
          <w:rFonts w:ascii="Garamond" w:eastAsia="Times New Roman" w:hAnsi="Garamond" w:cs="Times New Roman"/>
          <w:b/>
          <w:bCs/>
          <w:sz w:val="20"/>
          <w:szCs w:val="20"/>
          <w:lang w:eastAsia="fr-FR"/>
        </w:rPr>
        <w:t>I</w:t>
      </w:r>
      <w:r w:rsidRPr="00045305">
        <w:rPr>
          <w:rFonts w:ascii="Garamond" w:eastAsia="Times New Roman" w:hAnsi="Garamond" w:cs="Times New Roman"/>
          <w:sz w:val="20"/>
          <w:szCs w:val="20"/>
          <w:lang w:eastAsia="fr-FR"/>
        </w:rPr>
        <w:t>béromaurusien, car inscrit dans un système référentiel de grande portée régionale: le Pléistocène supérieur, une épaisseur de temps exprimée par des enregistrements morpho-sédimentaires remarquables, qui s’étalent depuis le Riss-Würm (stade isotopique 5e) jusqu’à la fin du premier inter-pléni-glaciaire (stade isotopique 3). Le deuxième pléni-glaciaire (stade isotopique 2) ne semble pas avoir laissé de traces notables dans le paysage littoral; une lacune dans les connaissances - véritable pierre d’achoppement - qui n’a pas été suffisamment interrogée, notamment dans sa dimension sédimentaire. Elle a été, le plus souvent, surmontée par l’idée d’un hiatus culturel</w:t>
      </w:r>
      <w:r w:rsidRPr="00045305">
        <w:rPr>
          <w:rFonts w:ascii="Garamond" w:eastAsia="Times New Roman" w:hAnsi="Garamond" w:cs="Times New Roman"/>
          <w:i/>
          <w:iCs/>
          <w:sz w:val="20"/>
          <w:szCs w:val="20"/>
          <w:lang w:eastAsia="fr-FR"/>
        </w:rPr>
        <w:t xml:space="preserve">, </w:t>
      </w:r>
      <w:r w:rsidRPr="00045305">
        <w:rPr>
          <w:rFonts w:ascii="Garamond" w:eastAsia="Times New Roman" w:hAnsi="Garamond" w:cs="Times New Roman"/>
          <w:sz w:val="20"/>
          <w:szCs w:val="20"/>
          <w:lang w:eastAsia="fr-FR"/>
        </w:rPr>
        <w:t xml:space="preserve">désignant un moment d’abandon de site, un vide anthropologique et culturel, une hypothèse qui a fini par se convertir en une rupture épistémologique entre </w:t>
      </w:r>
      <w:r w:rsidRPr="00045305">
        <w:rPr>
          <w:rFonts w:ascii="Garamond" w:eastAsia="Times New Roman" w:hAnsi="Garamond" w:cs="Times New Roman"/>
          <w:i/>
          <w:iCs/>
          <w:sz w:val="20"/>
          <w:szCs w:val="20"/>
          <w:lang w:eastAsia="fr-FR"/>
        </w:rPr>
        <w:t>« deux mondes géologiquement et archéologiquement distincts </w:t>
      </w:r>
      <w:r w:rsidRPr="00045305">
        <w:rPr>
          <w:rFonts w:ascii="Garamond" w:eastAsia="Times New Roman" w:hAnsi="Garamond" w:cs="Times New Roman"/>
          <w:sz w:val="20"/>
          <w:szCs w:val="20"/>
          <w:lang w:eastAsia="fr-FR"/>
        </w:rPr>
        <w:t xml:space="preserve">». </w:t>
      </w:r>
    </w:p>
    <w:p w14:paraId="3AD81846" w14:textId="2104BAB7" w:rsidR="00D7462A" w:rsidRPr="00045305" w:rsidRDefault="00045305" w:rsidP="001A1FFD">
      <w:pPr>
        <w:shd w:val="clear" w:color="auto" w:fill="FFFFFF"/>
        <w:spacing w:after="0" w:line="240" w:lineRule="auto"/>
        <w:ind w:left="-284" w:right="567"/>
        <w:jc w:val="both"/>
        <w:rPr>
          <w:rFonts w:ascii="Garamond" w:eastAsia="Times New Roman" w:hAnsi="Garamond" w:cs="Times New Roman"/>
          <w:sz w:val="20"/>
          <w:szCs w:val="20"/>
          <w:lang w:eastAsia="fr-FR"/>
        </w:rPr>
      </w:pPr>
      <w:r>
        <w:rPr>
          <w:rFonts w:ascii="Garamond" w:eastAsia="Times New Roman" w:hAnsi="Garamond" w:cs="Times New Roman"/>
          <w:sz w:val="20"/>
          <w:szCs w:val="20"/>
          <w:lang w:eastAsia="fr-FR"/>
        </w:rPr>
        <w:t xml:space="preserve"> </w:t>
      </w:r>
      <w:r w:rsidR="00D7462A" w:rsidRPr="00045305">
        <w:rPr>
          <w:rFonts w:ascii="Garamond" w:eastAsia="Times New Roman" w:hAnsi="Garamond" w:cs="Times New Roman"/>
          <w:sz w:val="20"/>
          <w:szCs w:val="20"/>
          <w:lang w:eastAsia="fr-FR"/>
        </w:rPr>
        <w:t xml:space="preserve">Toute une construction intellectuelle, articulée autour de mouvements </w:t>
      </w:r>
      <w:proofErr w:type="gramStart"/>
      <w:r w:rsidR="00D7462A" w:rsidRPr="00045305">
        <w:rPr>
          <w:rFonts w:ascii="Garamond" w:eastAsia="Times New Roman" w:hAnsi="Garamond" w:cs="Times New Roman"/>
          <w:sz w:val="20"/>
          <w:szCs w:val="20"/>
          <w:lang w:eastAsia="fr-FR"/>
        </w:rPr>
        <w:t>de  migration</w:t>
      </w:r>
      <w:proofErr w:type="gramEnd"/>
      <w:r w:rsidR="00D7462A" w:rsidRPr="00045305">
        <w:rPr>
          <w:rFonts w:ascii="Garamond" w:eastAsia="Times New Roman" w:hAnsi="Garamond" w:cs="Times New Roman"/>
          <w:sz w:val="20"/>
          <w:szCs w:val="20"/>
          <w:lang w:eastAsia="fr-FR"/>
        </w:rPr>
        <w:t xml:space="preserve"> et de déplacement de populations, consistait à réduire ou élargir le hiatus</w:t>
      </w:r>
      <w:r w:rsidR="00D7462A" w:rsidRPr="00045305">
        <w:rPr>
          <w:rFonts w:ascii="Garamond" w:eastAsia="Times New Roman" w:hAnsi="Garamond" w:cs="Times New Roman"/>
          <w:i/>
          <w:iCs/>
          <w:sz w:val="20"/>
          <w:szCs w:val="20"/>
          <w:lang w:eastAsia="fr-FR"/>
        </w:rPr>
        <w:t>,</w:t>
      </w:r>
      <w:r w:rsidR="00D7462A" w:rsidRPr="00045305">
        <w:rPr>
          <w:rFonts w:ascii="Garamond" w:eastAsia="Times New Roman" w:hAnsi="Garamond" w:cs="Times New Roman"/>
          <w:sz w:val="20"/>
          <w:szCs w:val="20"/>
          <w:lang w:eastAsia="fr-FR"/>
        </w:rPr>
        <w:t xml:space="preserve"> tantôt en vieillissant tantôt en rajeunissant le Moustérien, l’Atérien ou l’Ibéromaurusien, en demeurant, cependant, dans les mêmes épaisseurs de sédiments. Les recherches en préhistoire et géologie du quaternaire, effectuées sur la façade atlantique du Maroc et les découvertes récentes, réalisées au Maroc oriental, ont, emprunté </w:t>
      </w:r>
      <w:r w:rsidR="00392F8C">
        <w:rPr>
          <w:rFonts w:ascii="Garamond" w:eastAsia="Times New Roman" w:hAnsi="Garamond" w:cs="Times New Roman"/>
          <w:sz w:val="20"/>
          <w:szCs w:val="20"/>
          <w:lang w:eastAsia="fr-FR"/>
        </w:rPr>
        <w:t xml:space="preserve">de nouvelles </w:t>
      </w:r>
      <w:r w:rsidR="00D7462A" w:rsidRPr="00045305">
        <w:rPr>
          <w:rFonts w:ascii="Garamond" w:eastAsia="Times New Roman" w:hAnsi="Garamond" w:cs="Times New Roman"/>
          <w:sz w:val="20"/>
          <w:szCs w:val="20"/>
          <w:lang w:eastAsia="fr-FR"/>
        </w:rPr>
        <w:t xml:space="preserve">voies, allant au-delà des approches culturalistes, pour parvenir à </w:t>
      </w:r>
      <w:r w:rsidR="00392F8C">
        <w:rPr>
          <w:rFonts w:ascii="Garamond" w:eastAsia="Times New Roman" w:hAnsi="Garamond" w:cs="Times New Roman"/>
          <w:sz w:val="20"/>
          <w:szCs w:val="20"/>
          <w:lang w:eastAsia="fr-FR"/>
        </w:rPr>
        <w:t>des</w:t>
      </w:r>
      <w:r w:rsidR="00D7462A" w:rsidRPr="00045305">
        <w:rPr>
          <w:rFonts w:ascii="Garamond" w:eastAsia="Times New Roman" w:hAnsi="Garamond" w:cs="Times New Roman"/>
          <w:sz w:val="20"/>
          <w:szCs w:val="20"/>
          <w:lang w:eastAsia="fr-FR"/>
        </w:rPr>
        <w:t xml:space="preserve"> lectures transversales, plus ouvertes, usant d’autres</w:t>
      </w:r>
      <w:r>
        <w:rPr>
          <w:rFonts w:ascii="Garamond" w:eastAsia="Times New Roman" w:hAnsi="Garamond" w:cs="Times New Roman"/>
          <w:sz w:val="20"/>
          <w:szCs w:val="20"/>
          <w:lang w:eastAsia="fr-FR"/>
        </w:rPr>
        <w:t xml:space="preserve"> méthodes et matériaux d’examen</w:t>
      </w:r>
      <w:r w:rsidR="00D7462A" w:rsidRPr="00045305">
        <w:rPr>
          <w:rFonts w:ascii="Garamond" w:eastAsia="Times New Roman" w:hAnsi="Garamond" w:cs="Times New Roman"/>
          <w:sz w:val="20"/>
          <w:szCs w:val="20"/>
          <w:lang w:eastAsia="fr-FR"/>
        </w:rPr>
        <w:t>. Des avancées considérables ont été enregistrées dans la production de la connaissance, sans arriver, cependant, à déplacer véritablement le sujet sur un autre terrain d’exercice de la pensée.</w:t>
      </w:r>
    </w:p>
    <w:p w14:paraId="0F2814BE" w14:textId="77777777" w:rsidR="00D7462A" w:rsidRPr="00045305" w:rsidRDefault="00D7462A" w:rsidP="00045305">
      <w:pPr>
        <w:spacing w:line="240" w:lineRule="auto"/>
        <w:ind w:left="-284" w:right="567"/>
        <w:jc w:val="both"/>
        <w:rPr>
          <w:rFonts w:ascii="Garamond" w:eastAsia="Times New Roman" w:hAnsi="Garamond"/>
          <w:sz w:val="20"/>
          <w:szCs w:val="20"/>
          <w:lang w:eastAsia="fr-FR"/>
        </w:rPr>
      </w:pPr>
      <w:r w:rsidRPr="00045305">
        <w:rPr>
          <w:rFonts w:ascii="Garamond" w:hAnsi="Garamond"/>
          <w:sz w:val="20"/>
          <w:szCs w:val="20"/>
        </w:rPr>
        <w:t>Dans la présente contribution, nous voulions</w:t>
      </w:r>
      <w:r w:rsidR="00045305">
        <w:rPr>
          <w:rFonts w:ascii="Garamond" w:hAnsi="Garamond"/>
          <w:sz w:val="20"/>
          <w:szCs w:val="20"/>
        </w:rPr>
        <w:t xml:space="preserve"> </w:t>
      </w:r>
      <w:r w:rsidRPr="00045305">
        <w:rPr>
          <w:rFonts w:ascii="Garamond" w:hAnsi="Garamond"/>
          <w:sz w:val="20"/>
          <w:szCs w:val="20"/>
        </w:rPr>
        <w:t xml:space="preserve">emprunter </w:t>
      </w:r>
      <w:r w:rsidRPr="00045305">
        <w:rPr>
          <w:rFonts w:ascii="Garamond" w:hAnsi="Garamond"/>
          <w:bCs/>
          <w:sz w:val="20"/>
          <w:szCs w:val="20"/>
        </w:rPr>
        <w:t xml:space="preserve">une voie qui </w:t>
      </w:r>
      <w:r w:rsidR="00045305">
        <w:rPr>
          <w:rFonts w:ascii="Garamond" w:eastAsia="Times New Roman" w:hAnsi="Garamond" w:cs="Times New Roman"/>
          <w:bCs/>
          <w:sz w:val="20"/>
          <w:szCs w:val="20"/>
          <w:lang w:eastAsia="fr-FR"/>
        </w:rPr>
        <w:t>garantirait</w:t>
      </w:r>
      <w:r w:rsidRPr="00045305">
        <w:rPr>
          <w:rFonts w:ascii="Garamond" w:eastAsia="Times New Roman" w:hAnsi="Garamond" w:cs="Times New Roman"/>
          <w:bCs/>
          <w:sz w:val="20"/>
          <w:szCs w:val="20"/>
          <w:lang w:eastAsia="fr-FR"/>
        </w:rPr>
        <w:t xml:space="preserve">, d’abord, la cohérence et la concordance des données. L’idée consistant  </w:t>
      </w:r>
      <w:r w:rsidRPr="00045305">
        <w:rPr>
          <w:rFonts w:ascii="Garamond" w:eastAsia="Times New Roman" w:hAnsi="Garamond"/>
          <w:sz w:val="20"/>
          <w:szCs w:val="20"/>
          <w:lang w:eastAsia="fr-FR"/>
        </w:rPr>
        <w:t>à aller au-delà de l’approche classique par site, qui a la faiblesse de la décontextualisation, pour accéder à</w:t>
      </w:r>
      <w:r w:rsidRPr="00045305">
        <w:rPr>
          <w:rFonts w:ascii="Garamond" w:eastAsia="Times New Roman" w:hAnsi="Garamond" w:cs="Times New Roman"/>
          <w:bCs/>
          <w:sz w:val="20"/>
          <w:szCs w:val="20"/>
          <w:lang w:eastAsia="fr-FR"/>
        </w:rPr>
        <w:t xml:space="preserve"> une vision plus intégrale – géosystémique - usant d’une grille de lecture </w:t>
      </w:r>
      <w:r w:rsidRPr="00045305">
        <w:rPr>
          <w:rFonts w:ascii="Garamond" w:eastAsia="Times New Roman" w:hAnsi="Garamond"/>
          <w:sz w:val="20"/>
          <w:szCs w:val="20"/>
          <w:lang w:eastAsia="fr-FR"/>
        </w:rPr>
        <w:t xml:space="preserve">et d’analyse qui autorise les corrélations et les comparaisons sur des échelles spatio-temporelles requises. </w:t>
      </w:r>
      <w:r w:rsidRPr="00045305">
        <w:rPr>
          <w:rFonts w:ascii="Garamond" w:eastAsia="Times New Roman" w:hAnsi="Garamond"/>
          <w:color w:val="000000"/>
          <w:sz w:val="20"/>
          <w:szCs w:val="20"/>
          <w:lang w:eastAsia="fr-FR"/>
        </w:rPr>
        <w:t>L</w:t>
      </w:r>
      <w:r w:rsidRPr="00045305">
        <w:rPr>
          <w:rFonts w:ascii="Garamond" w:eastAsia="Times New Roman" w:hAnsi="Garamond"/>
          <w:sz w:val="20"/>
          <w:szCs w:val="20"/>
          <w:lang w:eastAsia="fr-FR"/>
        </w:rPr>
        <w:t>a dimension anthropo-culturelle n’étant envisagée, dans ce cas, qu’aux termes d</w:t>
      </w:r>
      <w:r w:rsidR="00E6731A">
        <w:rPr>
          <w:rFonts w:ascii="Garamond" w:eastAsia="Times New Roman" w:hAnsi="Garamond"/>
          <w:sz w:val="20"/>
          <w:szCs w:val="20"/>
          <w:lang w:eastAsia="fr-FR"/>
        </w:rPr>
        <w:t>u</w:t>
      </w:r>
      <w:r w:rsidRPr="00045305">
        <w:rPr>
          <w:rFonts w:ascii="Garamond" w:eastAsia="Times New Roman" w:hAnsi="Garamond"/>
          <w:sz w:val="20"/>
          <w:szCs w:val="20"/>
          <w:lang w:eastAsia="fr-FR"/>
        </w:rPr>
        <w:t xml:space="preserve"> « récit sédimentaire », étant entendu qu’en tout lieu et en tout moment l’homme préhistorique représente un temps et un contenu géologique. </w:t>
      </w:r>
    </w:p>
    <w:p w14:paraId="1E9F0BA8" w14:textId="77777777" w:rsidR="001A1FFD" w:rsidRDefault="00D7462A" w:rsidP="001A1FFD">
      <w:pPr>
        <w:spacing w:line="240" w:lineRule="auto"/>
        <w:ind w:left="-284" w:right="567"/>
        <w:jc w:val="both"/>
        <w:rPr>
          <w:rFonts w:ascii="Garamond" w:eastAsia="Times New Roman" w:hAnsi="Garamond"/>
          <w:sz w:val="20"/>
          <w:szCs w:val="20"/>
          <w:lang w:eastAsia="fr-FR"/>
        </w:rPr>
      </w:pPr>
      <w:r w:rsidRPr="00045305">
        <w:rPr>
          <w:rFonts w:ascii="Garamond" w:eastAsia="Times New Roman" w:hAnsi="Garamond"/>
          <w:sz w:val="20"/>
          <w:szCs w:val="20"/>
          <w:lang w:eastAsia="fr-FR"/>
        </w:rPr>
        <w:t xml:space="preserve">La grille de lecture et d’analyse, que nous préconisons, est puisée du cadre régional </w:t>
      </w:r>
      <w:r w:rsidR="00392F8C">
        <w:rPr>
          <w:rFonts w:ascii="Garamond" w:eastAsia="Times New Roman" w:hAnsi="Garamond"/>
          <w:sz w:val="20"/>
          <w:szCs w:val="20"/>
          <w:lang w:eastAsia="fr-FR"/>
        </w:rPr>
        <w:t xml:space="preserve"> </w:t>
      </w:r>
      <w:r w:rsidRPr="00045305">
        <w:rPr>
          <w:rFonts w:ascii="Garamond" w:eastAsia="Times New Roman" w:hAnsi="Garamond" w:cs="Times New Roman"/>
          <w:sz w:val="20"/>
          <w:szCs w:val="20"/>
          <w:lang w:eastAsia="fr-FR"/>
        </w:rPr>
        <w:t>Maghreb-méditerranéen, qui offre cette image d’un</w:t>
      </w:r>
      <w:r w:rsidR="00E6731A">
        <w:rPr>
          <w:rFonts w:ascii="Garamond" w:eastAsia="Times New Roman" w:hAnsi="Garamond" w:cs="Times New Roman"/>
          <w:sz w:val="20"/>
          <w:szCs w:val="20"/>
          <w:lang w:eastAsia="fr-FR"/>
        </w:rPr>
        <w:t>e bande littorale</w:t>
      </w:r>
      <w:r w:rsidRPr="00045305">
        <w:rPr>
          <w:rFonts w:ascii="Garamond" w:eastAsia="Times New Roman" w:hAnsi="Garamond" w:cs="Times New Roman"/>
          <w:sz w:val="20"/>
          <w:szCs w:val="20"/>
          <w:lang w:eastAsia="fr-FR"/>
        </w:rPr>
        <w:t xml:space="preserve"> parallèle à la mer, disposée en une alternance d’assises plastiques néogènes, étirées longitudinalement et de massifs rigides anté-néogènes, plus ramassés et davantage élevés. </w:t>
      </w:r>
      <w:r w:rsidR="00E6731A">
        <w:rPr>
          <w:rFonts w:ascii="Garamond" w:eastAsia="Times New Roman" w:hAnsi="Garamond" w:cs="Times New Roman"/>
          <w:sz w:val="20"/>
          <w:szCs w:val="20"/>
          <w:lang w:eastAsia="fr-FR"/>
        </w:rPr>
        <w:t xml:space="preserve">Un dispositif, qui </w:t>
      </w:r>
      <w:r w:rsidRPr="00045305">
        <w:rPr>
          <w:rFonts w:ascii="Garamond" w:eastAsia="Times New Roman" w:hAnsi="Garamond" w:cs="Times New Roman"/>
          <w:sz w:val="20"/>
          <w:szCs w:val="20"/>
          <w:lang w:eastAsia="fr-FR"/>
        </w:rPr>
        <w:t xml:space="preserve">est le produit de l’histoire géologique alpine en domaine tellien, </w:t>
      </w:r>
      <w:r w:rsidR="00E6731A">
        <w:rPr>
          <w:rFonts w:ascii="Garamond" w:eastAsia="Times New Roman" w:hAnsi="Garamond" w:cs="Times New Roman"/>
          <w:sz w:val="20"/>
          <w:szCs w:val="20"/>
          <w:lang w:eastAsia="fr-FR"/>
        </w:rPr>
        <w:t xml:space="preserve">celui </w:t>
      </w:r>
      <w:r w:rsidRPr="00045305">
        <w:rPr>
          <w:rFonts w:ascii="Garamond" w:eastAsia="Times New Roman" w:hAnsi="Garamond" w:cs="Times New Roman"/>
          <w:sz w:val="20"/>
          <w:szCs w:val="20"/>
          <w:lang w:eastAsia="fr-FR"/>
        </w:rPr>
        <w:t xml:space="preserve"> des </w:t>
      </w:r>
      <w:r w:rsidRPr="00045305">
        <w:rPr>
          <w:rFonts w:ascii="Garamond" w:eastAsia="Times New Roman" w:hAnsi="Garamond"/>
          <w:sz w:val="20"/>
          <w:szCs w:val="20"/>
          <w:lang w:eastAsia="fr-FR"/>
        </w:rPr>
        <w:t>Maghrébides</w:t>
      </w:r>
      <w:r w:rsidR="001F3CB1">
        <w:rPr>
          <w:rFonts w:ascii="Garamond" w:eastAsia="Times New Roman" w:hAnsi="Garamond"/>
          <w:sz w:val="20"/>
          <w:szCs w:val="20"/>
          <w:lang w:eastAsia="fr-FR"/>
        </w:rPr>
        <w:t xml:space="preserve">, véritable orogène, développé d’est en ouest, </w:t>
      </w:r>
      <w:r w:rsidRPr="00045305">
        <w:rPr>
          <w:rFonts w:ascii="Garamond" w:eastAsia="Times New Roman" w:hAnsi="Garamond"/>
          <w:sz w:val="20"/>
          <w:szCs w:val="20"/>
          <w:lang w:eastAsia="fr-FR"/>
        </w:rPr>
        <w:t>de</w:t>
      </w:r>
      <w:r w:rsidR="00E6731A">
        <w:rPr>
          <w:rFonts w:ascii="Garamond" w:eastAsia="Times New Roman" w:hAnsi="Garamond"/>
          <w:sz w:val="20"/>
          <w:szCs w:val="20"/>
          <w:lang w:eastAsia="fr-FR"/>
        </w:rPr>
        <w:t xml:space="preserve">puis </w:t>
      </w:r>
      <w:r w:rsidRPr="00045305">
        <w:rPr>
          <w:rFonts w:ascii="Garamond" w:eastAsia="Times New Roman" w:hAnsi="Garamond"/>
          <w:sz w:val="20"/>
          <w:szCs w:val="20"/>
          <w:lang w:eastAsia="fr-FR"/>
        </w:rPr>
        <w:t>l'Atlanti</w:t>
      </w:r>
      <w:r w:rsidR="00045305" w:rsidRPr="00045305">
        <w:rPr>
          <w:rFonts w:ascii="Garamond" w:eastAsia="Times New Roman" w:hAnsi="Garamond"/>
          <w:sz w:val="20"/>
          <w:szCs w:val="20"/>
          <w:lang w:eastAsia="fr-FR"/>
        </w:rPr>
        <w:t xml:space="preserve">que </w:t>
      </w:r>
      <w:r w:rsidR="00E6731A">
        <w:rPr>
          <w:rFonts w:ascii="Garamond" w:eastAsia="Times New Roman" w:hAnsi="Garamond"/>
          <w:sz w:val="20"/>
          <w:szCs w:val="20"/>
          <w:lang w:eastAsia="fr-FR"/>
        </w:rPr>
        <w:t xml:space="preserve">jusqu’à la </w:t>
      </w:r>
      <w:r w:rsidR="00045305" w:rsidRPr="00045305">
        <w:rPr>
          <w:rFonts w:ascii="Garamond" w:eastAsia="Times New Roman" w:hAnsi="Garamond"/>
          <w:sz w:val="20"/>
          <w:szCs w:val="20"/>
          <w:lang w:eastAsia="fr-FR"/>
        </w:rPr>
        <w:t>mer ionienne (Italie)</w:t>
      </w:r>
      <w:r w:rsidR="001F3CB1">
        <w:rPr>
          <w:rFonts w:ascii="Arial" w:eastAsia="Times New Roman" w:hAnsi="Arial"/>
          <w:sz w:val="20"/>
          <w:szCs w:val="20"/>
          <w:lang w:eastAsia="fr-FR"/>
        </w:rPr>
        <w:t>.</w:t>
      </w:r>
      <w:r w:rsidR="001F3CB1">
        <w:rPr>
          <w:rFonts w:ascii="Garamond" w:eastAsia="Times New Roman" w:hAnsi="Garamond"/>
          <w:sz w:val="20"/>
          <w:szCs w:val="20"/>
          <w:lang w:eastAsia="fr-FR"/>
        </w:rPr>
        <w:t xml:space="preserve"> </w:t>
      </w:r>
      <w:r w:rsidRPr="00045305">
        <w:rPr>
          <w:rFonts w:ascii="Garamond" w:eastAsia="Times New Roman" w:hAnsi="Garamond" w:cs="Times New Roman"/>
          <w:sz w:val="20"/>
          <w:szCs w:val="20"/>
          <w:lang w:eastAsia="fr-FR"/>
        </w:rPr>
        <w:t>C’est sur cette bande de relief</w:t>
      </w:r>
      <w:r w:rsidR="001F3CB1">
        <w:rPr>
          <w:rFonts w:ascii="Garamond" w:eastAsia="Times New Roman" w:hAnsi="Garamond" w:cs="Times New Roman"/>
          <w:sz w:val="20"/>
          <w:szCs w:val="20"/>
          <w:lang w:eastAsia="fr-FR"/>
        </w:rPr>
        <w:t xml:space="preserve">, </w:t>
      </w:r>
      <w:r w:rsidRPr="00045305">
        <w:rPr>
          <w:rFonts w:ascii="Garamond" w:eastAsia="Times New Roman" w:hAnsi="Garamond" w:cs="Times New Roman"/>
          <w:sz w:val="20"/>
          <w:szCs w:val="20"/>
          <w:lang w:eastAsia="fr-FR"/>
        </w:rPr>
        <w:t xml:space="preserve">tel un palimpseste, que se sont enregistrées les traces des établissements humains préhistoriques, Leur </w:t>
      </w:r>
      <w:r w:rsidR="001F3CB1">
        <w:rPr>
          <w:rFonts w:ascii="Garamond" w:eastAsia="Times New Roman" w:hAnsi="Garamond" w:cs="Times New Roman"/>
          <w:sz w:val="20"/>
          <w:szCs w:val="20"/>
          <w:lang w:eastAsia="fr-FR"/>
        </w:rPr>
        <w:t xml:space="preserve">absence </w:t>
      </w:r>
      <w:r w:rsidRPr="00045305">
        <w:rPr>
          <w:rFonts w:ascii="Garamond" w:eastAsia="Times New Roman" w:hAnsi="Garamond" w:cs="Times New Roman"/>
          <w:sz w:val="20"/>
          <w:szCs w:val="20"/>
          <w:lang w:eastAsia="fr-FR"/>
        </w:rPr>
        <w:t xml:space="preserve"> où leur</w:t>
      </w:r>
      <w:r w:rsidR="001F3CB1">
        <w:rPr>
          <w:rFonts w:ascii="Garamond" w:eastAsia="Times New Roman" w:hAnsi="Garamond" w:cs="Times New Roman"/>
          <w:sz w:val="20"/>
          <w:szCs w:val="20"/>
          <w:lang w:eastAsia="fr-FR"/>
        </w:rPr>
        <w:t xml:space="preserve"> présence, </w:t>
      </w:r>
      <w:r w:rsidRPr="00045305">
        <w:rPr>
          <w:rFonts w:ascii="Garamond" w:eastAsia="Times New Roman" w:hAnsi="Garamond" w:cs="Times New Roman"/>
          <w:sz w:val="20"/>
          <w:szCs w:val="20"/>
          <w:lang w:eastAsia="fr-FR"/>
        </w:rPr>
        <w:t>outre les conditions de conservation, sont le plus souvent liées à l’histoire particulière des affleurements qu’à celle des établissements humains proprement dits. C’est dans cette signification</w:t>
      </w:r>
      <w:r w:rsidR="00CF17E0" w:rsidRPr="00045305">
        <w:rPr>
          <w:rFonts w:ascii="Garamond" w:eastAsia="Times New Roman" w:hAnsi="Garamond" w:cs="Times New Roman"/>
          <w:sz w:val="20"/>
          <w:szCs w:val="20"/>
          <w:lang w:eastAsia="fr-FR"/>
        </w:rPr>
        <w:t xml:space="preserve">, pensons-nous, </w:t>
      </w:r>
      <w:r w:rsidRPr="00045305">
        <w:rPr>
          <w:rFonts w:ascii="Garamond" w:eastAsia="Times New Roman" w:hAnsi="Garamond" w:cs="Times New Roman"/>
          <w:sz w:val="20"/>
          <w:szCs w:val="20"/>
          <w:lang w:eastAsia="fr-FR"/>
        </w:rPr>
        <w:t xml:space="preserve">que se comprendrait la rareté des gisements préhistoriques </w:t>
      </w:r>
      <w:r w:rsidR="00392F8C">
        <w:rPr>
          <w:rFonts w:ascii="Garamond" w:eastAsia="Times New Roman" w:hAnsi="Garamond" w:cs="Times New Roman"/>
          <w:sz w:val="20"/>
          <w:szCs w:val="20"/>
          <w:lang w:eastAsia="fr-FR"/>
        </w:rPr>
        <w:t>pendant le</w:t>
      </w:r>
      <w:r w:rsidRPr="00045305">
        <w:rPr>
          <w:rFonts w:ascii="Garamond" w:eastAsia="Times New Roman" w:hAnsi="Garamond" w:cs="Times New Roman"/>
          <w:sz w:val="20"/>
          <w:szCs w:val="20"/>
          <w:lang w:eastAsia="fr-FR"/>
        </w:rPr>
        <w:t xml:space="preserve"> pléistocène inférieur et moyen </w:t>
      </w:r>
      <w:r w:rsidR="00E6731A">
        <w:rPr>
          <w:rFonts w:ascii="Garamond" w:eastAsia="Times New Roman" w:hAnsi="Garamond" w:cs="Times New Roman"/>
          <w:sz w:val="20"/>
          <w:szCs w:val="20"/>
          <w:lang w:eastAsia="fr-FR"/>
        </w:rPr>
        <w:t>et</w:t>
      </w:r>
      <w:r w:rsidRPr="00045305">
        <w:rPr>
          <w:rFonts w:ascii="Garamond" w:eastAsia="Times New Roman" w:hAnsi="Garamond" w:cs="Times New Roman"/>
          <w:sz w:val="20"/>
          <w:szCs w:val="20"/>
          <w:lang w:eastAsia="fr-FR"/>
        </w:rPr>
        <w:t xml:space="preserve"> leur remarquable densité</w:t>
      </w:r>
      <w:r w:rsidR="00CF17E0" w:rsidRPr="00045305">
        <w:rPr>
          <w:rFonts w:ascii="Garamond" w:eastAsia="Times New Roman" w:hAnsi="Garamond" w:cs="Times New Roman"/>
          <w:sz w:val="20"/>
          <w:szCs w:val="20"/>
          <w:lang w:eastAsia="fr-FR"/>
        </w:rPr>
        <w:t xml:space="preserve"> dès </w:t>
      </w:r>
      <w:proofErr w:type="gramStart"/>
      <w:r w:rsidR="00CF17E0" w:rsidRPr="00045305">
        <w:rPr>
          <w:rFonts w:ascii="Garamond" w:eastAsia="Times New Roman" w:hAnsi="Garamond" w:cs="Times New Roman"/>
          <w:sz w:val="20"/>
          <w:szCs w:val="20"/>
          <w:lang w:eastAsia="fr-FR"/>
        </w:rPr>
        <w:t xml:space="preserve">le </w:t>
      </w:r>
      <w:r w:rsidRPr="00045305">
        <w:rPr>
          <w:rFonts w:ascii="Garamond" w:eastAsia="Times New Roman" w:hAnsi="Garamond" w:cs="Times New Roman"/>
          <w:sz w:val="20"/>
          <w:szCs w:val="20"/>
          <w:lang w:eastAsia="fr-FR"/>
        </w:rPr>
        <w:t xml:space="preserve"> pléistocène</w:t>
      </w:r>
      <w:proofErr w:type="gramEnd"/>
      <w:r w:rsidRPr="00045305">
        <w:rPr>
          <w:rFonts w:ascii="Garamond" w:eastAsia="Times New Roman" w:hAnsi="Garamond" w:cs="Times New Roman"/>
          <w:sz w:val="20"/>
          <w:szCs w:val="20"/>
          <w:lang w:eastAsia="fr-FR"/>
        </w:rPr>
        <w:t xml:space="preserve"> supérieur.</w:t>
      </w:r>
    </w:p>
    <w:p w14:paraId="7F1DAD11" w14:textId="568EE726" w:rsidR="008C30F3" w:rsidRPr="001A1FFD" w:rsidRDefault="00045305" w:rsidP="001A1FFD">
      <w:pPr>
        <w:spacing w:line="240" w:lineRule="auto"/>
        <w:ind w:left="-284" w:right="567"/>
        <w:jc w:val="both"/>
        <w:rPr>
          <w:rFonts w:ascii="Garamond" w:eastAsia="Times New Roman" w:hAnsi="Garamond"/>
          <w:sz w:val="20"/>
          <w:szCs w:val="20"/>
          <w:lang w:eastAsia="fr-FR"/>
        </w:rPr>
      </w:pPr>
      <w:r w:rsidRPr="00045305">
        <w:rPr>
          <w:rFonts w:ascii="Garamond" w:eastAsia="Times New Roman" w:hAnsi="Garamond" w:cs="Times New Roman"/>
          <w:sz w:val="20"/>
          <w:szCs w:val="20"/>
          <w:lang w:eastAsia="fr-FR"/>
        </w:rPr>
        <w:t xml:space="preserve">Devant l’étendue géographique de ce sujet, </w:t>
      </w:r>
      <w:r w:rsidR="00D7462A" w:rsidRPr="00045305">
        <w:rPr>
          <w:rFonts w:ascii="Garamond" w:eastAsia="Times New Roman" w:hAnsi="Garamond" w:cs="Times New Roman"/>
          <w:sz w:val="20"/>
          <w:szCs w:val="20"/>
          <w:lang w:eastAsia="fr-FR"/>
        </w:rPr>
        <w:t xml:space="preserve">et pour les besoins </w:t>
      </w:r>
      <w:r w:rsidR="00ED4F41">
        <w:rPr>
          <w:rFonts w:ascii="Garamond" w:eastAsia="Times New Roman" w:hAnsi="Garamond" w:cs="Times New Roman"/>
          <w:sz w:val="20"/>
          <w:szCs w:val="20"/>
          <w:lang w:eastAsia="fr-FR"/>
        </w:rPr>
        <w:t>de cette</w:t>
      </w:r>
      <w:r w:rsidR="00D7462A" w:rsidRPr="00045305">
        <w:rPr>
          <w:rFonts w:ascii="Garamond" w:eastAsia="Times New Roman" w:hAnsi="Garamond" w:cs="Times New Roman"/>
          <w:sz w:val="20"/>
          <w:szCs w:val="20"/>
          <w:lang w:eastAsia="fr-FR"/>
        </w:rPr>
        <w:t xml:space="preserve"> </w:t>
      </w:r>
      <w:r w:rsidRPr="00045305">
        <w:rPr>
          <w:rFonts w:ascii="Garamond" w:eastAsia="Times New Roman" w:hAnsi="Garamond" w:cs="Times New Roman"/>
          <w:sz w:val="20"/>
          <w:szCs w:val="20"/>
          <w:lang w:eastAsia="fr-FR"/>
        </w:rPr>
        <w:t xml:space="preserve">contribution, </w:t>
      </w:r>
      <w:r w:rsidR="00D7462A" w:rsidRPr="00045305">
        <w:rPr>
          <w:rFonts w:ascii="Garamond" w:eastAsia="Times New Roman" w:hAnsi="Garamond" w:cs="Times New Roman"/>
          <w:sz w:val="20"/>
          <w:szCs w:val="20"/>
          <w:lang w:eastAsia="fr-FR"/>
        </w:rPr>
        <w:t xml:space="preserve">nous avons </w:t>
      </w:r>
      <w:r w:rsidR="00E6731A">
        <w:rPr>
          <w:rFonts w:ascii="Garamond" w:eastAsia="Times New Roman" w:hAnsi="Garamond" w:cs="Times New Roman"/>
          <w:sz w:val="20"/>
          <w:szCs w:val="20"/>
          <w:lang w:eastAsia="fr-FR"/>
        </w:rPr>
        <w:t>circonscrit</w:t>
      </w:r>
      <w:r w:rsidR="00D7462A" w:rsidRPr="00045305">
        <w:rPr>
          <w:rFonts w:ascii="Garamond" w:eastAsia="Times New Roman" w:hAnsi="Garamond" w:cs="Times New Roman"/>
          <w:sz w:val="20"/>
          <w:szCs w:val="20"/>
          <w:lang w:eastAsia="fr-FR"/>
        </w:rPr>
        <w:t xml:space="preserve"> </w:t>
      </w:r>
      <w:r w:rsidRPr="00045305">
        <w:rPr>
          <w:rFonts w:ascii="Garamond" w:eastAsia="Times New Roman" w:hAnsi="Garamond" w:cs="Times New Roman"/>
          <w:sz w:val="20"/>
          <w:szCs w:val="20"/>
          <w:lang w:eastAsia="fr-FR"/>
        </w:rPr>
        <w:t xml:space="preserve">notre </w:t>
      </w:r>
      <w:r w:rsidR="00392F8C">
        <w:rPr>
          <w:rFonts w:ascii="Garamond" w:eastAsia="Times New Roman" w:hAnsi="Garamond" w:cs="Times New Roman"/>
          <w:sz w:val="20"/>
          <w:szCs w:val="20"/>
          <w:lang w:eastAsia="fr-FR"/>
        </w:rPr>
        <w:t>sujet</w:t>
      </w:r>
      <w:r w:rsidR="00D7462A" w:rsidRPr="00045305">
        <w:rPr>
          <w:rFonts w:ascii="Garamond" w:eastAsia="Times New Roman" w:hAnsi="Garamond" w:cs="Times New Roman"/>
          <w:sz w:val="20"/>
          <w:szCs w:val="20"/>
          <w:lang w:eastAsia="fr-FR"/>
        </w:rPr>
        <w:t xml:space="preserve"> à un </w:t>
      </w:r>
      <w:r w:rsidR="00D7462A" w:rsidRPr="00045305">
        <w:rPr>
          <w:rFonts w:ascii="Garamond" w:hAnsi="Garamond"/>
          <w:bCs/>
          <w:sz w:val="20"/>
          <w:szCs w:val="20"/>
        </w:rPr>
        <w:t>segment de</w:t>
      </w:r>
      <w:r w:rsidR="00E6731A">
        <w:rPr>
          <w:rFonts w:ascii="Garamond" w:hAnsi="Garamond"/>
          <w:bCs/>
          <w:sz w:val="20"/>
          <w:szCs w:val="20"/>
        </w:rPr>
        <w:t xml:space="preserve"> </w:t>
      </w:r>
      <w:r w:rsidR="00392F8C">
        <w:rPr>
          <w:rFonts w:ascii="Garamond" w:hAnsi="Garamond"/>
          <w:bCs/>
          <w:sz w:val="20"/>
          <w:szCs w:val="20"/>
        </w:rPr>
        <w:t xml:space="preserve">la </w:t>
      </w:r>
      <w:r w:rsidR="00E6731A">
        <w:rPr>
          <w:rFonts w:ascii="Garamond" w:hAnsi="Garamond"/>
          <w:bCs/>
          <w:sz w:val="20"/>
          <w:szCs w:val="20"/>
        </w:rPr>
        <w:t xml:space="preserve">bande </w:t>
      </w:r>
      <w:r w:rsidR="00D7462A" w:rsidRPr="00045305">
        <w:rPr>
          <w:rFonts w:ascii="Garamond" w:hAnsi="Garamond"/>
          <w:bCs/>
          <w:sz w:val="20"/>
          <w:szCs w:val="20"/>
        </w:rPr>
        <w:t>littoral</w:t>
      </w:r>
      <w:r w:rsidR="00E6731A">
        <w:rPr>
          <w:rFonts w:ascii="Garamond" w:hAnsi="Garamond"/>
          <w:bCs/>
          <w:sz w:val="20"/>
          <w:szCs w:val="20"/>
        </w:rPr>
        <w:t>e</w:t>
      </w:r>
      <w:r w:rsidR="00392F8C">
        <w:rPr>
          <w:rFonts w:ascii="Garamond" w:hAnsi="Garamond"/>
          <w:bCs/>
          <w:sz w:val="20"/>
          <w:szCs w:val="20"/>
        </w:rPr>
        <w:t xml:space="preserve"> </w:t>
      </w:r>
      <w:proofErr w:type="gramStart"/>
      <w:r w:rsidR="00392F8C">
        <w:rPr>
          <w:rFonts w:ascii="Garamond" w:hAnsi="Garamond"/>
          <w:bCs/>
          <w:sz w:val="20"/>
          <w:szCs w:val="20"/>
        </w:rPr>
        <w:t>maghrébine</w:t>
      </w:r>
      <w:r w:rsidR="00D7462A" w:rsidRPr="00045305">
        <w:rPr>
          <w:rFonts w:ascii="Garamond" w:eastAsia="Times New Roman" w:hAnsi="Garamond" w:cs="Times New Roman"/>
          <w:sz w:val="20"/>
          <w:szCs w:val="20"/>
          <w:lang w:eastAsia="fr-FR"/>
        </w:rPr>
        <w:t>:</w:t>
      </w:r>
      <w:proofErr w:type="gramEnd"/>
      <w:r w:rsidR="00D7462A" w:rsidRPr="00045305">
        <w:rPr>
          <w:rFonts w:ascii="Garamond" w:eastAsia="Times New Roman" w:hAnsi="Garamond" w:cs="Times New Roman"/>
          <w:sz w:val="20"/>
          <w:szCs w:val="20"/>
          <w:lang w:eastAsia="fr-FR"/>
        </w:rPr>
        <w:t xml:space="preserve"> Le « Sahel occidentale d’Alger »</w:t>
      </w:r>
      <w:r w:rsidR="00392F8C">
        <w:rPr>
          <w:rFonts w:ascii="Garamond" w:eastAsia="Times New Roman" w:hAnsi="Garamond" w:cs="Times New Roman"/>
          <w:sz w:val="20"/>
          <w:szCs w:val="20"/>
          <w:lang w:eastAsia="fr-FR"/>
        </w:rPr>
        <w:t xml:space="preserve"> : </w:t>
      </w:r>
      <w:r w:rsidR="00D7462A" w:rsidRPr="00045305">
        <w:rPr>
          <w:rFonts w:ascii="Garamond" w:eastAsia="Times New Roman" w:hAnsi="Garamond" w:cs="Times New Roman"/>
          <w:sz w:val="20"/>
          <w:szCs w:val="20"/>
          <w:lang w:eastAsia="fr-FR"/>
        </w:rPr>
        <w:t xml:space="preserve"> une entité morpho-structurale formée d’une assise plastique plio-pléistocène, allongée </w:t>
      </w:r>
      <w:r w:rsidR="00ED4F41">
        <w:rPr>
          <w:rFonts w:ascii="Garamond" w:eastAsia="Times New Roman" w:hAnsi="Garamond" w:cs="Times New Roman"/>
          <w:sz w:val="20"/>
          <w:szCs w:val="20"/>
          <w:lang w:eastAsia="fr-FR"/>
        </w:rPr>
        <w:t xml:space="preserve">est-ouest </w:t>
      </w:r>
      <w:r w:rsidR="00D7462A" w:rsidRPr="00045305">
        <w:rPr>
          <w:rFonts w:ascii="Garamond" w:eastAsia="Times New Roman" w:hAnsi="Garamond" w:cs="Times New Roman"/>
          <w:sz w:val="20"/>
          <w:szCs w:val="20"/>
          <w:lang w:eastAsia="fr-FR"/>
        </w:rPr>
        <w:t>parallèlement à la mer, adossée à  deux massifs rigides anté-néogènes, la « Bouzaréa »</w:t>
      </w:r>
      <w:r w:rsidR="00E6731A">
        <w:rPr>
          <w:rFonts w:ascii="Garamond" w:eastAsia="Times New Roman" w:hAnsi="Garamond" w:cs="Times New Roman"/>
          <w:sz w:val="20"/>
          <w:szCs w:val="20"/>
          <w:lang w:eastAsia="fr-FR"/>
        </w:rPr>
        <w:t xml:space="preserve"> à l’est </w:t>
      </w:r>
      <w:r w:rsidR="00D7462A" w:rsidRPr="00045305">
        <w:rPr>
          <w:rFonts w:ascii="Garamond" w:eastAsia="Times New Roman" w:hAnsi="Garamond" w:cs="Times New Roman"/>
          <w:sz w:val="20"/>
          <w:szCs w:val="20"/>
          <w:lang w:eastAsia="fr-FR"/>
        </w:rPr>
        <w:t>et le « Chenoua »</w:t>
      </w:r>
      <w:r w:rsidR="00E6731A">
        <w:rPr>
          <w:rFonts w:ascii="Garamond" w:eastAsia="Times New Roman" w:hAnsi="Garamond" w:cs="Times New Roman"/>
          <w:sz w:val="20"/>
          <w:szCs w:val="20"/>
          <w:lang w:eastAsia="fr-FR"/>
        </w:rPr>
        <w:t xml:space="preserve"> à l’ouest</w:t>
      </w:r>
      <w:r w:rsidR="00D7462A" w:rsidRPr="00045305">
        <w:rPr>
          <w:rFonts w:ascii="Garamond" w:eastAsia="Times New Roman" w:hAnsi="Garamond" w:cs="Times New Roman"/>
          <w:sz w:val="20"/>
          <w:szCs w:val="20"/>
          <w:lang w:eastAsia="fr-FR"/>
        </w:rPr>
        <w:t xml:space="preserve">. </w:t>
      </w:r>
      <w:r w:rsidR="00E6731A">
        <w:rPr>
          <w:rFonts w:ascii="Garamond" w:eastAsia="Times New Roman" w:hAnsi="Garamond" w:cs="Times New Roman"/>
          <w:sz w:val="20"/>
          <w:szCs w:val="20"/>
          <w:lang w:eastAsia="fr-FR"/>
        </w:rPr>
        <w:t>D</w:t>
      </w:r>
      <w:r w:rsidR="00D7462A" w:rsidRPr="00045305">
        <w:rPr>
          <w:rFonts w:ascii="Garamond" w:eastAsia="Times New Roman" w:hAnsi="Garamond" w:cs="Times New Roman"/>
          <w:sz w:val="20"/>
          <w:szCs w:val="20"/>
          <w:lang w:eastAsia="fr-FR"/>
        </w:rPr>
        <w:t>’une centaine de kilomètres de longueur et une dizaine de kilomètres de grande largeur,</w:t>
      </w:r>
      <w:r w:rsidR="00E6731A" w:rsidRPr="00E6731A">
        <w:rPr>
          <w:rFonts w:ascii="Garamond" w:eastAsia="Times New Roman" w:hAnsi="Garamond" w:cs="Times New Roman"/>
          <w:sz w:val="20"/>
          <w:szCs w:val="20"/>
          <w:lang w:eastAsia="fr-FR"/>
        </w:rPr>
        <w:t xml:space="preserve"> </w:t>
      </w:r>
      <w:r w:rsidR="00ED4F41">
        <w:rPr>
          <w:rFonts w:ascii="Garamond" w:eastAsia="Times New Roman" w:hAnsi="Garamond" w:cs="Times New Roman"/>
          <w:sz w:val="20"/>
          <w:szCs w:val="20"/>
          <w:lang w:eastAsia="fr-FR"/>
        </w:rPr>
        <w:t xml:space="preserve">ce segment </w:t>
      </w:r>
      <w:r w:rsidR="00392F8C">
        <w:rPr>
          <w:rFonts w:ascii="Garamond" w:eastAsia="Times New Roman" w:hAnsi="Garamond" w:cs="Times New Roman"/>
          <w:sz w:val="20"/>
          <w:szCs w:val="20"/>
          <w:lang w:eastAsia="fr-FR"/>
        </w:rPr>
        <w:t>de littoral</w:t>
      </w:r>
      <w:r w:rsidR="00ED4F41">
        <w:rPr>
          <w:rFonts w:ascii="Garamond" w:eastAsia="Times New Roman" w:hAnsi="Garamond" w:cs="Times New Roman"/>
          <w:sz w:val="20"/>
          <w:szCs w:val="20"/>
          <w:lang w:eastAsia="fr-FR"/>
        </w:rPr>
        <w:t xml:space="preserve"> </w:t>
      </w:r>
      <w:r w:rsidR="00D7462A" w:rsidRPr="00045305">
        <w:rPr>
          <w:rFonts w:ascii="Garamond" w:eastAsia="Times New Roman" w:hAnsi="Garamond" w:cs="Times New Roman"/>
          <w:sz w:val="20"/>
          <w:szCs w:val="20"/>
          <w:lang w:eastAsia="fr-FR"/>
        </w:rPr>
        <w:t xml:space="preserve">présente un grand intérêt au point </w:t>
      </w:r>
      <w:r w:rsidR="00D7462A" w:rsidRPr="00045305">
        <w:rPr>
          <w:rFonts w:ascii="Garamond" w:hAnsi="Garamond"/>
          <w:bCs/>
          <w:sz w:val="20"/>
          <w:szCs w:val="20"/>
        </w:rPr>
        <w:t>de vue géologique et archéologique.</w:t>
      </w:r>
      <w:bookmarkEnd w:id="0"/>
      <w:r w:rsidR="00D7462A" w:rsidRPr="00045305">
        <w:rPr>
          <w:rFonts w:ascii="Garamond" w:hAnsi="Garamond"/>
          <w:bCs/>
          <w:sz w:val="20"/>
          <w:szCs w:val="20"/>
        </w:rPr>
        <w:t xml:space="preserve"> </w:t>
      </w:r>
    </w:p>
    <w:p w14:paraId="252ECB27" w14:textId="77777777" w:rsidR="001F3CB1" w:rsidRPr="00045305" w:rsidRDefault="001F3CB1" w:rsidP="00E6731A">
      <w:pPr>
        <w:ind w:left="-284" w:right="567"/>
        <w:jc w:val="both"/>
        <w:rPr>
          <w:sz w:val="20"/>
          <w:szCs w:val="20"/>
        </w:rPr>
      </w:pPr>
    </w:p>
    <w:sectPr w:rsidR="001F3CB1" w:rsidRPr="000453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BC51B1"/>
    <w:multiLevelType w:val="hybridMultilevel"/>
    <w:tmpl w:val="519AEC64"/>
    <w:lvl w:ilvl="0" w:tplc="922083DE">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62A"/>
    <w:rsid w:val="00045305"/>
    <w:rsid w:val="00157982"/>
    <w:rsid w:val="001A1FFD"/>
    <w:rsid w:val="001F3CB1"/>
    <w:rsid w:val="00392F8C"/>
    <w:rsid w:val="005D25F2"/>
    <w:rsid w:val="0087310A"/>
    <w:rsid w:val="008C30F3"/>
    <w:rsid w:val="00983BC4"/>
    <w:rsid w:val="00A52F04"/>
    <w:rsid w:val="00CF17E0"/>
    <w:rsid w:val="00D7462A"/>
    <w:rsid w:val="00E5349D"/>
    <w:rsid w:val="00E6731A"/>
    <w:rsid w:val="00ED4F41"/>
    <w:rsid w:val="00F6752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9F56D"/>
  <w15:docId w15:val="{31E6947B-50E3-4461-92A2-0493522B1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62A"/>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746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462A"/>
    <w:rPr>
      <w:rFonts w:ascii="Tahoma" w:eastAsia="Calibri" w:hAnsi="Tahoma" w:cs="Tahoma"/>
      <w:sz w:val="16"/>
      <w:szCs w:val="16"/>
    </w:rPr>
  </w:style>
  <w:style w:type="paragraph" w:styleId="Paragraphedeliste">
    <w:name w:val="List Paragraph"/>
    <w:basedOn w:val="Normal"/>
    <w:uiPriority w:val="34"/>
    <w:qFormat/>
    <w:rsid w:val="00F675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694</Words>
  <Characters>3817</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batrouni</dc:creator>
  <cp:lastModifiedBy>hp</cp:lastModifiedBy>
  <cp:revision>4</cp:revision>
  <dcterms:created xsi:type="dcterms:W3CDTF">2021-06-28T17:05:00Z</dcterms:created>
  <dcterms:modified xsi:type="dcterms:W3CDTF">2021-06-30T22:19:00Z</dcterms:modified>
</cp:coreProperties>
</file>