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7EBC8" w14:textId="4CE3B353" w:rsidR="002335D9" w:rsidRPr="00446487" w:rsidRDefault="003D429C" w:rsidP="003D1C47">
      <w:pPr>
        <w:jc w:val="center"/>
        <w:rPr>
          <w:rFonts w:ascii="Tahoma" w:hAnsi="Tahoma" w:cs="Tahoma"/>
          <w:b/>
          <w:color w:val="000000"/>
          <w:sz w:val="21"/>
          <w:szCs w:val="21"/>
          <w:shd w:val="clear" w:color="auto" w:fill="FFFFFF"/>
          <w:lang w:val="fr-FR"/>
        </w:rPr>
      </w:pPr>
      <w:bookmarkStart w:id="0" w:name="_GoBack"/>
      <w:r w:rsidRPr="00446487">
        <w:rPr>
          <w:rFonts w:ascii="Tahoma" w:hAnsi="Tahoma" w:cs="Tahoma"/>
          <w:b/>
          <w:color w:val="000000"/>
          <w:sz w:val="21"/>
          <w:szCs w:val="21"/>
          <w:shd w:val="clear" w:color="auto" w:fill="FFFFFF"/>
          <w:lang w:val="fr-FR"/>
        </w:rPr>
        <w:t>Continuité où</w:t>
      </w:r>
      <w:r w:rsidR="002335D9" w:rsidRPr="00446487">
        <w:rPr>
          <w:rFonts w:ascii="Tahoma" w:hAnsi="Tahoma" w:cs="Tahoma"/>
          <w:b/>
          <w:color w:val="000000"/>
          <w:sz w:val="21"/>
          <w:szCs w:val="21"/>
          <w:shd w:val="clear" w:color="auto" w:fill="FFFFFF"/>
          <w:lang w:val="fr-FR"/>
        </w:rPr>
        <w:t xml:space="preserve"> changement</w:t>
      </w:r>
      <w:r w:rsidR="00A966EE">
        <w:rPr>
          <w:rFonts w:ascii="Tahoma" w:hAnsi="Tahoma" w:cs="Tahoma"/>
          <w:b/>
          <w:color w:val="000000"/>
          <w:sz w:val="21"/>
          <w:szCs w:val="21"/>
          <w:shd w:val="clear" w:color="auto" w:fill="FFFFFF"/>
          <w:lang w:val="fr-FR"/>
        </w:rPr>
        <w:t> :</w:t>
      </w:r>
      <w:r w:rsidR="002335D9" w:rsidRPr="00446487">
        <w:rPr>
          <w:rFonts w:ascii="Tahoma" w:hAnsi="Tahoma" w:cs="Tahoma"/>
          <w:b/>
          <w:color w:val="000000"/>
          <w:sz w:val="21"/>
          <w:szCs w:val="21"/>
          <w:shd w:val="clear" w:color="auto" w:fill="FFFFFF"/>
          <w:lang w:val="fr-FR"/>
        </w:rPr>
        <w:t xml:space="preserve"> les ornements </w:t>
      </w:r>
      <w:r w:rsidR="00A966EE">
        <w:rPr>
          <w:rFonts w:ascii="Tahoma" w:hAnsi="Tahoma" w:cs="Tahoma"/>
          <w:b/>
          <w:color w:val="000000"/>
          <w:sz w:val="21"/>
          <w:szCs w:val="21"/>
          <w:shd w:val="clear" w:color="auto" w:fill="FFFFFF"/>
          <w:lang w:val="fr-FR"/>
        </w:rPr>
        <w:t xml:space="preserve">à la fin du </w:t>
      </w:r>
      <w:r w:rsidR="00234155">
        <w:rPr>
          <w:rFonts w:ascii="Tahoma" w:hAnsi="Tahoma" w:cs="Tahoma"/>
          <w:b/>
          <w:color w:val="000000"/>
          <w:sz w:val="21"/>
          <w:szCs w:val="21"/>
          <w:shd w:val="clear" w:color="auto" w:fill="FFFFFF"/>
          <w:lang w:val="fr-FR"/>
        </w:rPr>
        <w:t xml:space="preserve">Paléolithique </w:t>
      </w:r>
      <w:r w:rsidR="00A966EE">
        <w:rPr>
          <w:rFonts w:ascii="Tahoma" w:hAnsi="Tahoma" w:cs="Tahoma"/>
          <w:b/>
          <w:color w:val="000000"/>
          <w:sz w:val="21"/>
          <w:szCs w:val="21"/>
          <w:shd w:val="clear" w:color="auto" w:fill="FFFFFF"/>
          <w:lang w:val="fr-FR"/>
        </w:rPr>
        <w:t xml:space="preserve">dans </w:t>
      </w:r>
      <w:r w:rsidR="002335D9" w:rsidRPr="00446487">
        <w:rPr>
          <w:rFonts w:ascii="Tahoma" w:hAnsi="Tahoma" w:cs="Tahoma"/>
          <w:b/>
          <w:color w:val="000000"/>
          <w:sz w:val="21"/>
          <w:szCs w:val="21"/>
          <w:shd w:val="clear" w:color="auto" w:fill="FFFFFF"/>
          <w:lang w:val="fr-FR"/>
        </w:rPr>
        <w:t>la région de Valence (Espagne)</w:t>
      </w:r>
    </w:p>
    <w:bookmarkEnd w:id="0"/>
    <w:p w14:paraId="099D4BB9" w14:textId="77777777" w:rsidR="008F4E5D" w:rsidRPr="003E6B0E" w:rsidRDefault="008F4E5D" w:rsidP="008F4E5D">
      <w:pPr>
        <w:pStyle w:val="Standard"/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E6B0E">
        <w:rPr>
          <w:rFonts w:asciiTheme="minorHAnsi" w:hAnsiTheme="minorHAnsi" w:cs="Times New Roman"/>
          <w:sz w:val="24"/>
          <w:szCs w:val="24"/>
        </w:rPr>
        <w:t xml:space="preserve">Begoña Soler Mayor </w:t>
      </w:r>
      <w:r w:rsidRPr="003E6B0E">
        <w:rPr>
          <w:rFonts w:asciiTheme="minorHAnsi" w:hAnsiTheme="minorHAnsi" w:cs="Times New Roman"/>
          <w:sz w:val="24"/>
          <w:szCs w:val="24"/>
          <w:vertAlign w:val="superscript"/>
        </w:rPr>
        <w:t>a</w:t>
      </w:r>
      <w:r w:rsidRPr="003E6B0E">
        <w:rPr>
          <w:rFonts w:asciiTheme="minorHAnsi" w:hAnsiTheme="minorHAnsi" w:cs="Times New Roman"/>
          <w:sz w:val="24"/>
          <w:szCs w:val="24"/>
        </w:rPr>
        <w:t xml:space="preserve"> (</w:t>
      </w:r>
      <w:hyperlink r:id="rId4" w:history="1">
        <w:r w:rsidRPr="003903FF">
          <w:rPr>
            <w:rStyle w:val="Lienhypertexte"/>
            <w:rFonts w:asciiTheme="minorHAnsi" w:eastAsia="Times New Roman" w:hAnsiTheme="minorHAnsi" w:cs="Times New Roman"/>
            <w:sz w:val="24"/>
            <w:szCs w:val="24"/>
          </w:rPr>
          <w:t>begonya.soler@dival.es</w:t>
        </w:r>
      </w:hyperlink>
      <w:r w:rsidRPr="003E6B0E">
        <w:rPr>
          <w:rFonts w:asciiTheme="minorHAnsi" w:eastAsia="Times New Roman" w:hAnsiTheme="minorHAnsi" w:cs="Times New Roman"/>
          <w:sz w:val="24"/>
          <w:szCs w:val="24"/>
        </w:rPr>
        <w:t>)</w:t>
      </w:r>
    </w:p>
    <w:p w14:paraId="726EB99E" w14:textId="3F415C49" w:rsidR="003B36C6" w:rsidRDefault="003B36C6" w:rsidP="008F4E5D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Nicole Balcázar-Campos</w:t>
      </w:r>
      <w:r w:rsidR="00234155">
        <w:rPr>
          <w:rFonts w:asciiTheme="minorHAnsi" w:hAnsiTheme="minorHAnsi" w:cs="Times New Roman"/>
          <w:sz w:val="24"/>
          <w:szCs w:val="24"/>
        </w:rPr>
        <w:t xml:space="preserve"> </w:t>
      </w:r>
      <w:r w:rsidR="00234155" w:rsidRPr="00234155">
        <w:rPr>
          <w:rFonts w:asciiTheme="minorHAnsi" w:hAnsiTheme="minorHAnsi" w:cs="Times New Roman"/>
          <w:sz w:val="24"/>
          <w:szCs w:val="24"/>
          <w:vertAlign w:val="superscript"/>
        </w:rPr>
        <w:t>b</w:t>
      </w:r>
      <w:r w:rsidR="00AF187E">
        <w:rPr>
          <w:rFonts w:asciiTheme="minorHAnsi" w:hAnsiTheme="minorHAnsi" w:cs="Times New Roman"/>
          <w:sz w:val="24"/>
          <w:szCs w:val="24"/>
          <w:vertAlign w:val="superscript"/>
        </w:rPr>
        <w:t xml:space="preserve"> </w:t>
      </w:r>
      <w:r w:rsidR="00AF187E" w:rsidRPr="003E6B0E">
        <w:rPr>
          <w:rFonts w:asciiTheme="minorHAnsi" w:hAnsiTheme="minorHAnsi" w:cs="Times New Roman"/>
          <w:sz w:val="24"/>
          <w:szCs w:val="24"/>
        </w:rPr>
        <w:t>(</w:t>
      </w:r>
      <w:hyperlink r:id="rId5" w:history="1">
        <w:r w:rsidR="00AF187E" w:rsidRPr="0006027B">
          <w:rPr>
            <w:rStyle w:val="Lienhypertexte"/>
            <w:rFonts w:asciiTheme="minorHAnsi" w:eastAsia="Times New Roman" w:hAnsiTheme="minorHAnsi" w:cs="Times New Roman"/>
            <w:sz w:val="24"/>
            <w:szCs w:val="24"/>
          </w:rPr>
          <w:t>nicole.balcazar@uv.es</w:t>
        </w:r>
      </w:hyperlink>
      <w:r w:rsidR="00AF187E" w:rsidRPr="003E6B0E">
        <w:rPr>
          <w:rFonts w:asciiTheme="minorHAnsi" w:eastAsia="Times New Roman" w:hAnsiTheme="minorHAnsi" w:cs="Times New Roman"/>
          <w:sz w:val="24"/>
          <w:szCs w:val="24"/>
        </w:rPr>
        <w:t>)</w:t>
      </w:r>
    </w:p>
    <w:p w14:paraId="1CD3D232" w14:textId="77777777" w:rsidR="003B36C6" w:rsidRDefault="008F4E5D" w:rsidP="008F4E5D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Margarita Vadillo Conesa </w:t>
      </w:r>
      <w:r w:rsidRPr="001462D3">
        <w:rPr>
          <w:rFonts w:asciiTheme="minorHAnsi" w:hAnsiTheme="minorHAnsi" w:cs="Times New Roman"/>
          <w:sz w:val="24"/>
          <w:szCs w:val="24"/>
          <w:vertAlign w:val="superscript"/>
        </w:rPr>
        <w:t>b</w:t>
      </w:r>
      <w:r>
        <w:rPr>
          <w:rFonts w:asciiTheme="minorHAnsi" w:hAnsiTheme="minorHAnsi" w:cs="Times New Roman"/>
          <w:sz w:val="24"/>
          <w:szCs w:val="24"/>
        </w:rPr>
        <w:t xml:space="preserve"> (</w:t>
      </w:r>
      <w:hyperlink r:id="rId6" w:history="1">
        <w:r w:rsidRPr="00785CC8">
          <w:rPr>
            <w:rStyle w:val="Lienhypertexte"/>
            <w:rFonts w:asciiTheme="minorHAnsi" w:hAnsiTheme="minorHAnsi" w:cs="Times New Roman"/>
            <w:sz w:val="24"/>
            <w:szCs w:val="24"/>
          </w:rPr>
          <w:t>margarita.vadillo@uv.es</w:t>
        </w:r>
      </w:hyperlink>
      <w:r>
        <w:rPr>
          <w:rFonts w:asciiTheme="minorHAnsi" w:hAnsiTheme="minorHAnsi" w:cs="Times New Roman"/>
          <w:sz w:val="24"/>
          <w:szCs w:val="24"/>
        </w:rPr>
        <w:t>)</w:t>
      </w:r>
    </w:p>
    <w:p w14:paraId="05337BF2" w14:textId="77777777" w:rsidR="008F4E5D" w:rsidRDefault="008F4E5D" w:rsidP="008F4E5D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J. Emili Aura Tortosa</w:t>
      </w:r>
      <w:r w:rsidRPr="001462D3">
        <w:rPr>
          <w:rFonts w:asciiTheme="minorHAnsi" w:hAnsiTheme="minorHAnsi" w:cs="Times New Roman"/>
          <w:sz w:val="24"/>
          <w:szCs w:val="24"/>
          <w:vertAlign w:val="superscript"/>
        </w:rPr>
        <w:t xml:space="preserve"> b</w:t>
      </w:r>
      <w:r>
        <w:rPr>
          <w:rFonts w:asciiTheme="minorHAnsi" w:hAnsiTheme="minorHAnsi" w:cs="Times New Roman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(</w:t>
      </w:r>
      <w:hyperlink r:id="rId7" w:history="1">
        <w:r w:rsidRPr="00785CC8">
          <w:rPr>
            <w:rStyle w:val="Lienhypertexte"/>
            <w:rFonts w:asciiTheme="minorHAnsi" w:hAnsiTheme="minorHAnsi" w:cs="Times New Roman"/>
            <w:sz w:val="24"/>
            <w:szCs w:val="24"/>
          </w:rPr>
          <w:t>j.emili.aura@uv.es</w:t>
        </w:r>
      </w:hyperlink>
      <w:r>
        <w:rPr>
          <w:rFonts w:asciiTheme="minorHAnsi" w:hAnsiTheme="minorHAnsi" w:cs="Times New Roman"/>
          <w:sz w:val="24"/>
          <w:szCs w:val="24"/>
        </w:rPr>
        <w:t>)</w:t>
      </w:r>
    </w:p>
    <w:p w14:paraId="232693BC" w14:textId="77777777" w:rsidR="008F4E5D" w:rsidRPr="001462D3" w:rsidRDefault="008F4E5D" w:rsidP="008F4E5D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14:paraId="19FE5C34" w14:textId="77777777" w:rsidR="008F4E5D" w:rsidRPr="001462D3" w:rsidRDefault="008F4E5D" w:rsidP="008F4E5D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1462D3">
        <w:rPr>
          <w:rFonts w:asciiTheme="minorHAnsi" w:hAnsiTheme="minorHAnsi" w:cs="Times New Roman"/>
          <w:sz w:val="20"/>
          <w:szCs w:val="20"/>
          <w:vertAlign w:val="superscript"/>
        </w:rPr>
        <w:t xml:space="preserve">a </w:t>
      </w:r>
      <w:proofErr w:type="spellStart"/>
      <w:r w:rsidRPr="001462D3">
        <w:rPr>
          <w:rFonts w:asciiTheme="minorHAnsi" w:hAnsiTheme="minorHAnsi" w:cs="Times New Roman"/>
          <w:sz w:val="20"/>
          <w:szCs w:val="20"/>
        </w:rPr>
        <w:t>Museu</w:t>
      </w:r>
      <w:proofErr w:type="spellEnd"/>
      <w:r w:rsidRPr="001462D3">
        <w:rPr>
          <w:rFonts w:asciiTheme="minorHAnsi" w:hAnsiTheme="minorHAnsi" w:cs="Times New Roman"/>
          <w:sz w:val="20"/>
          <w:szCs w:val="20"/>
        </w:rPr>
        <w:t xml:space="preserve"> de </w:t>
      </w:r>
      <w:proofErr w:type="spellStart"/>
      <w:r w:rsidRPr="001462D3">
        <w:rPr>
          <w:rFonts w:asciiTheme="minorHAnsi" w:hAnsiTheme="minorHAnsi" w:cs="Times New Roman"/>
          <w:sz w:val="20"/>
          <w:szCs w:val="20"/>
        </w:rPr>
        <w:t>Prehistòria</w:t>
      </w:r>
      <w:proofErr w:type="spellEnd"/>
      <w:r w:rsidRPr="001462D3">
        <w:rPr>
          <w:rFonts w:asciiTheme="minorHAnsi" w:hAnsiTheme="minorHAnsi" w:cs="Times New Roman"/>
          <w:sz w:val="20"/>
          <w:szCs w:val="20"/>
        </w:rPr>
        <w:t xml:space="preserve"> de </w:t>
      </w:r>
      <w:proofErr w:type="spellStart"/>
      <w:r w:rsidRPr="001462D3">
        <w:rPr>
          <w:rFonts w:asciiTheme="minorHAnsi" w:hAnsiTheme="minorHAnsi" w:cs="Times New Roman"/>
          <w:sz w:val="20"/>
          <w:szCs w:val="20"/>
        </w:rPr>
        <w:t>València</w:t>
      </w:r>
      <w:proofErr w:type="spellEnd"/>
    </w:p>
    <w:p w14:paraId="4E24069D" w14:textId="77777777" w:rsidR="008F4E5D" w:rsidRDefault="008F4E5D" w:rsidP="008F4E5D">
      <w:pPr>
        <w:rPr>
          <w:rFonts w:cs="Times New Roman"/>
          <w:sz w:val="20"/>
          <w:szCs w:val="20"/>
        </w:rPr>
      </w:pPr>
      <w:r w:rsidRPr="001462D3">
        <w:rPr>
          <w:rFonts w:cs="Times New Roman"/>
          <w:sz w:val="20"/>
          <w:szCs w:val="20"/>
          <w:vertAlign w:val="superscript"/>
        </w:rPr>
        <w:t>b</w:t>
      </w:r>
      <w:r w:rsidRPr="001462D3">
        <w:rPr>
          <w:rFonts w:cs="Times New Roman"/>
          <w:sz w:val="20"/>
          <w:szCs w:val="20"/>
        </w:rPr>
        <w:t xml:space="preserve"> PREMEDOC,</w:t>
      </w:r>
      <w:r w:rsidR="003B36C6">
        <w:rPr>
          <w:rFonts w:cs="Times New Roman"/>
          <w:sz w:val="20"/>
          <w:szCs w:val="20"/>
        </w:rPr>
        <w:t xml:space="preserve"> Dept. Prehistòria, Arqueologia i Hia. Antiga.</w:t>
      </w:r>
      <w:r w:rsidRPr="001462D3">
        <w:rPr>
          <w:rFonts w:cs="Times New Roman"/>
          <w:sz w:val="20"/>
          <w:szCs w:val="20"/>
        </w:rPr>
        <w:t xml:space="preserve"> Universitat de València</w:t>
      </w:r>
    </w:p>
    <w:p w14:paraId="571E9910" w14:textId="77777777" w:rsidR="002335D9" w:rsidRPr="00446487" w:rsidRDefault="002335D9" w:rsidP="008F4E5D">
      <w:pPr>
        <w:rPr>
          <w:color w:val="FF0000"/>
          <w:lang w:val="fr-FR"/>
        </w:rPr>
      </w:pPr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 xml:space="preserve">Dans la région de Valence (Espagne), il existe une relation étroite entre les stratégies techno-économiques identifiées pendant le Magdalénien et les facies </w:t>
      </w:r>
      <w:r w:rsidR="00446487"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>micro laminaires</w:t>
      </w:r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 xml:space="preserve"> postérieures, déjà considérées comme épipaléolithiques.</w:t>
      </w:r>
      <w:r w:rsidRPr="00446487">
        <w:rPr>
          <w:rFonts w:ascii="Tahoma" w:hAnsi="Tahoma" w:cs="Tahoma"/>
          <w:color w:val="000000"/>
          <w:sz w:val="21"/>
          <w:szCs w:val="21"/>
          <w:shd w:val="clear" w:color="auto" w:fill="F7F7F7"/>
          <w:lang w:val="fr-FR"/>
        </w:rPr>
        <w:t> </w:t>
      </w:r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>L’objectif de cette contribution est de connaitre quel est l</w:t>
      </w:r>
      <w:r w:rsidR="00446487"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>’apport des ornements personnels</w:t>
      </w:r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 xml:space="preserve"> à la discussion sur la continuité culturelle dans la région méditerranéenne ibérique entre 18 - 11 </w:t>
      </w:r>
      <w:proofErr w:type="spellStart"/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>ky</w:t>
      </w:r>
      <w:proofErr w:type="spellEnd"/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 xml:space="preserve"> cal BP.</w:t>
      </w:r>
      <w:r w:rsidRPr="00446487">
        <w:rPr>
          <w:rFonts w:ascii="Tahoma" w:hAnsi="Tahoma" w:cs="Tahoma"/>
          <w:color w:val="000000"/>
          <w:sz w:val="21"/>
          <w:szCs w:val="21"/>
          <w:lang w:val="fr-FR"/>
        </w:rPr>
        <w:br/>
      </w:r>
      <w:r w:rsidRPr="00446487">
        <w:rPr>
          <w:rFonts w:ascii="Tahoma" w:hAnsi="Tahoma" w:cs="Tahoma"/>
          <w:color w:val="000000"/>
          <w:sz w:val="21"/>
          <w:szCs w:val="21"/>
          <w:lang w:val="fr-FR"/>
        </w:rPr>
        <w:br/>
      </w:r>
      <w:r w:rsidR="00446487">
        <w:rPr>
          <w:rFonts w:ascii="Tahoma" w:hAnsi="Tahoma" w:cs="Tahoma"/>
          <w:color w:val="000000"/>
          <w:sz w:val="21"/>
          <w:szCs w:val="21"/>
          <w:shd w:val="clear" w:color="auto" w:fill="F7F7F7"/>
          <w:lang w:val="fr-FR"/>
        </w:rPr>
        <w:t>Pour répondre à cette question, on a analysé les espèces</w:t>
      </w:r>
      <w:r w:rsidR="006C6534" w:rsidRPr="006C6534">
        <w:rPr>
          <w:rFonts w:ascii="Tahoma" w:hAnsi="Tahoma" w:cs="Tahoma"/>
          <w:color w:val="000000"/>
          <w:sz w:val="21"/>
          <w:szCs w:val="21"/>
          <w:shd w:val="clear" w:color="auto" w:fill="F7F7F7"/>
          <w:lang w:val="fr-FR"/>
        </w:rPr>
        <w:t xml:space="preserve"> </w:t>
      </w:r>
      <w:r w:rsidR="006C6534">
        <w:rPr>
          <w:rFonts w:ascii="Tahoma" w:hAnsi="Tahoma" w:cs="Tahoma"/>
          <w:color w:val="000000"/>
          <w:sz w:val="21"/>
          <w:szCs w:val="21"/>
          <w:shd w:val="clear" w:color="auto" w:fill="F7F7F7"/>
          <w:lang w:val="fr-FR"/>
        </w:rPr>
        <w:t>utilisées,</w:t>
      </w:r>
      <w:r w:rsidR="00446487">
        <w:rPr>
          <w:rFonts w:ascii="Tahoma" w:hAnsi="Tahoma" w:cs="Tahoma"/>
          <w:color w:val="000000"/>
          <w:sz w:val="21"/>
          <w:szCs w:val="21"/>
          <w:shd w:val="clear" w:color="auto" w:fill="F7F7F7"/>
          <w:lang w:val="fr-FR"/>
        </w:rPr>
        <w:t xml:space="preserve"> principalement d’origine marine, </w:t>
      </w:r>
      <w:r w:rsidR="006C6534">
        <w:rPr>
          <w:rFonts w:ascii="Tahoma" w:hAnsi="Tahoma" w:cs="Tahoma"/>
          <w:color w:val="000000"/>
          <w:sz w:val="21"/>
          <w:szCs w:val="21"/>
          <w:shd w:val="clear" w:color="auto" w:fill="F7F7F7"/>
          <w:lang w:val="fr-FR"/>
        </w:rPr>
        <w:t>ainsi que les techniques de perforation.</w:t>
      </w:r>
      <w:r w:rsidR="00446487">
        <w:rPr>
          <w:rFonts w:ascii="Tahoma" w:hAnsi="Tahoma" w:cs="Tahoma"/>
          <w:color w:val="000000"/>
          <w:sz w:val="21"/>
          <w:szCs w:val="21"/>
          <w:shd w:val="clear" w:color="auto" w:fill="F7F7F7"/>
          <w:lang w:val="fr-FR"/>
        </w:rPr>
        <w:t xml:space="preserve"> </w:t>
      </w:r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 xml:space="preserve">Les matériaux étudiés proviennent essentiellement de </w:t>
      </w:r>
      <w:proofErr w:type="spellStart"/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>Cova</w:t>
      </w:r>
      <w:proofErr w:type="spellEnd"/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 xml:space="preserve"> </w:t>
      </w:r>
      <w:proofErr w:type="spellStart"/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>del</w:t>
      </w:r>
      <w:proofErr w:type="spellEnd"/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 xml:space="preserve"> </w:t>
      </w:r>
      <w:proofErr w:type="spellStart"/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>Parpalló</w:t>
      </w:r>
      <w:proofErr w:type="spellEnd"/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 xml:space="preserve"> (</w:t>
      </w:r>
      <w:proofErr w:type="spellStart"/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>Gandia</w:t>
      </w:r>
      <w:proofErr w:type="spellEnd"/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 xml:space="preserve">, </w:t>
      </w:r>
      <w:proofErr w:type="spellStart"/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>València</w:t>
      </w:r>
      <w:proofErr w:type="spellEnd"/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 xml:space="preserve">) et </w:t>
      </w:r>
      <w:proofErr w:type="spellStart"/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>Coves</w:t>
      </w:r>
      <w:proofErr w:type="spellEnd"/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 xml:space="preserve"> de Santa </w:t>
      </w:r>
      <w:proofErr w:type="spellStart"/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>Maira</w:t>
      </w:r>
      <w:proofErr w:type="spellEnd"/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 xml:space="preserve"> (</w:t>
      </w:r>
      <w:proofErr w:type="spellStart"/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>Castell</w:t>
      </w:r>
      <w:proofErr w:type="spellEnd"/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 xml:space="preserve"> de </w:t>
      </w:r>
      <w:proofErr w:type="spellStart"/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>Castells</w:t>
      </w:r>
      <w:proofErr w:type="spellEnd"/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 xml:space="preserve">, </w:t>
      </w:r>
      <w:proofErr w:type="spellStart"/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>Alacant</w:t>
      </w:r>
      <w:proofErr w:type="spellEnd"/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>).</w:t>
      </w:r>
      <w:r w:rsidRPr="00446487">
        <w:rPr>
          <w:rFonts w:ascii="Tahoma" w:hAnsi="Tahoma" w:cs="Tahoma"/>
          <w:color w:val="000000"/>
          <w:sz w:val="21"/>
          <w:szCs w:val="21"/>
          <w:shd w:val="clear" w:color="auto" w:fill="F7F7F7"/>
          <w:lang w:val="fr-FR"/>
        </w:rPr>
        <w:t> </w:t>
      </w:r>
      <w:r w:rsidRPr="00446487">
        <w:rPr>
          <w:rFonts w:ascii="Tahoma" w:hAnsi="Tahoma" w:cs="Tahoma"/>
          <w:color w:val="000000"/>
          <w:shd w:val="clear" w:color="auto" w:fill="FFFFFF"/>
          <w:lang w:val="fr-FR"/>
        </w:rPr>
        <w:t>Dans tous les cas, il s’agit d’ensembles retrouvés dans des contextes d’habitation, car on ne dispose pas de données sur des contextes funéraires qui permettraient d’analyser ces objets</w:t>
      </w:r>
      <w:r w:rsidR="006C6534">
        <w:rPr>
          <w:rFonts w:ascii="Tahoma" w:hAnsi="Tahoma" w:cs="Tahoma"/>
          <w:color w:val="000000"/>
          <w:shd w:val="clear" w:color="auto" w:fill="FFFFFF"/>
          <w:lang w:val="fr-FR"/>
        </w:rPr>
        <w:t xml:space="preserve"> pour mieux comprendre l’organisation sociale</w:t>
      </w:r>
      <w:r w:rsidRPr="00446487">
        <w:rPr>
          <w:rFonts w:ascii="Tahoma" w:hAnsi="Tahoma" w:cs="Tahoma"/>
          <w:color w:val="000000"/>
          <w:shd w:val="clear" w:color="auto" w:fill="FFFFFF"/>
          <w:lang w:val="fr-FR"/>
        </w:rPr>
        <w:t>.</w:t>
      </w:r>
      <w:r w:rsidRPr="00446487">
        <w:rPr>
          <w:rFonts w:ascii="Tahoma" w:hAnsi="Tahoma" w:cs="Tahoma"/>
          <w:color w:val="000000"/>
          <w:lang w:val="fr-FR"/>
        </w:rPr>
        <w:br/>
      </w:r>
      <w:r w:rsidRPr="00446487">
        <w:rPr>
          <w:rFonts w:ascii="Tahoma" w:hAnsi="Tahoma" w:cs="Tahoma"/>
          <w:color w:val="000000"/>
          <w:lang w:val="fr-FR"/>
        </w:rPr>
        <w:br/>
      </w:r>
      <w:r w:rsidRPr="00446487">
        <w:rPr>
          <w:rFonts w:ascii="Tahoma" w:hAnsi="Tahoma" w:cs="Tahoma"/>
          <w:color w:val="000000"/>
          <w:shd w:val="clear" w:color="auto" w:fill="FFFFFF"/>
          <w:lang w:val="fr-FR"/>
        </w:rPr>
        <w:t>Par rapport aux périodes précédentes, on observe une perte de diversité chez les espèces de mollusques sélectionnées pour fa</w:t>
      </w:r>
      <w:r w:rsidR="006C6534">
        <w:rPr>
          <w:rFonts w:ascii="Tahoma" w:hAnsi="Tahoma" w:cs="Tahoma"/>
          <w:color w:val="000000"/>
          <w:shd w:val="clear" w:color="auto" w:fill="FFFFFF"/>
          <w:lang w:val="fr-FR"/>
        </w:rPr>
        <w:t>briquer des ornements</w:t>
      </w:r>
      <w:r w:rsidRPr="00446487">
        <w:rPr>
          <w:rFonts w:ascii="Tahoma" w:hAnsi="Tahoma" w:cs="Tahoma"/>
          <w:color w:val="000000"/>
          <w:shd w:val="clear" w:color="auto" w:fill="FFFFFF"/>
          <w:lang w:val="fr-FR"/>
        </w:rPr>
        <w:t>.</w:t>
      </w:r>
      <w:r w:rsidR="006C6534">
        <w:rPr>
          <w:rFonts w:ascii="Tahoma" w:hAnsi="Tahoma" w:cs="Tahoma"/>
          <w:color w:val="000000"/>
          <w:shd w:val="clear" w:color="auto" w:fill="FFFFFF"/>
          <w:lang w:val="fr-FR"/>
        </w:rPr>
        <w:t xml:space="preserve"> Dans les contextes Solutréens de </w:t>
      </w:r>
      <w:proofErr w:type="spellStart"/>
      <w:r w:rsidR="006C6534">
        <w:rPr>
          <w:rFonts w:ascii="Tahoma" w:hAnsi="Tahoma" w:cs="Tahoma"/>
          <w:color w:val="000000"/>
          <w:shd w:val="clear" w:color="auto" w:fill="FFFFFF"/>
          <w:lang w:val="fr-FR"/>
        </w:rPr>
        <w:t>Parapalló</w:t>
      </w:r>
      <w:proofErr w:type="spellEnd"/>
      <w:r w:rsidR="006C6534">
        <w:rPr>
          <w:rFonts w:ascii="Tahoma" w:hAnsi="Tahoma" w:cs="Tahoma"/>
          <w:color w:val="000000"/>
          <w:shd w:val="clear" w:color="auto" w:fill="FFFFFF"/>
          <w:lang w:val="fr-FR"/>
        </w:rPr>
        <w:t>, notamment de sa phase moyenne, un ensemble nombreux et diversifié procède quant aux espèces utilisées comme ornements personnels.</w:t>
      </w:r>
      <w:r w:rsidRPr="00446487">
        <w:rPr>
          <w:rFonts w:ascii="Tahoma" w:hAnsi="Tahoma" w:cs="Tahoma"/>
          <w:color w:val="000000"/>
          <w:shd w:val="clear" w:color="auto" w:fill="F7F7F7"/>
          <w:lang w:val="fr-FR"/>
        </w:rPr>
        <w:t> </w:t>
      </w:r>
      <w:r w:rsidR="006C6534"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 xml:space="preserve"> </w:t>
      </w:r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 xml:space="preserve">En ce qui concerne la fin du Magdalénien et les changements survenus dans les facies </w:t>
      </w:r>
      <w:r w:rsidR="00446487"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>micro laminaires</w:t>
      </w:r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 xml:space="preserve"> antérieures au Mésolithique, les données de Santa </w:t>
      </w:r>
      <w:proofErr w:type="spellStart"/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>Maira</w:t>
      </w:r>
      <w:proofErr w:type="spellEnd"/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 xml:space="preserve"> permettent d’analyser pour la première fois la sélection des objets d’ornement.</w:t>
      </w:r>
      <w:r w:rsidRPr="00446487">
        <w:rPr>
          <w:rFonts w:ascii="Tahoma" w:hAnsi="Tahoma" w:cs="Tahoma"/>
          <w:color w:val="000000"/>
          <w:sz w:val="21"/>
          <w:szCs w:val="21"/>
          <w:shd w:val="clear" w:color="auto" w:fill="F7F7F7"/>
          <w:lang w:val="fr-FR"/>
        </w:rPr>
        <w:t> </w:t>
      </w:r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>Il s’agit d’une information importante pour évaluer comment l’utilisation des ornements "a transité" entre la fin du Pléistocène et le début de l’Holocène.</w:t>
      </w:r>
      <w:r w:rsidRPr="00446487">
        <w:rPr>
          <w:rFonts w:ascii="Tahoma" w:hAnsi="Tahoma" w:cs="Tahoma"/>
          <w:color w:val="000000"/>
          <w:sz w:val="21"/>
          <w:szCs w:val="21"/>
          <w:lang w:val="fr-FR"/>
        </w:rPr>
        <w:br/>
      </w:r>
      <w:r w:rsidRPr="00446487">
        <w:rPr>
          <w:rFonts w:ascii="Tahoma" w:hAnsi="Tahoma" w:cs="Tahoma"/>
          <w:color w:val="000000"/>
          <w:sz w:val="21"/>
          <w:szCs w:val="21"/>
          <w:lang w:val="fr-FR"/>
        </w:rPr>
        <w:br/>
      </w:r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>Les données présentées dans cette étude permettent d’évaluer deux questions.</w:t>
      </w:r>
      <w:r w:rsidRPr="00446487">
        <w:rPr>
          <w:rFonts w:ascii="Tahoma" w:hAnsi="Tahoma" w:cs="Tahoma"/>
          <w:color w:val="000000"/>
          <w:sz w:val="21"/>
          <w:szCs w:val="21"/>
          <w:shd w:val="clear" w:color="auto" w:fill="F7F7F7"/>
          <w:lang w:val="fr-FR"/>
        </w:rPr>
        <w:t> </w:t>
      </w:r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>Tout d’abord, s’il y a continuité tant dans les espèces de support utilisées q</w:t>
      </w:r>
      <w:r w:rsid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>ue dans les techniques de perforation</w:t>
      </w:r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>.</w:t>
      </w:r>
      <w:r w:rsidRPr="00446487">
        <w:rPr>
          <w:rFonts w:ascii="Tahoma" w:hAnsi="Tahoma" w:cs="Tahoma"/>
          <w:color w:val="000000"/>
          <w:sz w:val="21"/>
          <w:szCs w:val="21"/>
          <w:shd w:val="clear" w:color="auto" w:fill="F7F7F7"/>
          <w:lang w:val="fr-FR"/>
        </w:rPr>
        <w:t> </w:t>
      </w:r>
      <w:r w:rsidRPr="00446487">
        <w:rPr>
          <w:rFonts w:ascii="Tahoma" w:hAnsi="Tahoma" w:cs="Tahoma"/>
          <w:color w:val="000000"/>
          <w:sz w:val="21"/>
          <w:szCs w:val="21"/>
          <w:shd w:val="clear" w:color="auto" w:fill="FFFFFF"/>
          <w:lang w:val="fr-FR"/>
        </w:rPr>
        <w:t>Deuxièmement, s’il est possible d’identifier des éléments régionaux, compatibles avec la mobilité des sociétés du Paléolithique final et épipaléolithique de la région méditerranéenne ibérique.</w:t>
      </w:r>
    </w:p>
    <w:sectPr w:rsidR="002335D9" w:rsidRPr="004464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D9"/>
    <w:rsid w:val="00181D45"/>
    <w:rsid w:val="002335D9"/>
    <w:rsid w:val="00234155"/>
    <w:rsid w:val="003B36C6"/>
    <w:rsid w:val="003D1C47"/>
    <w:rsid w:val="003D429C"/>
    <w:rsid w:val="00446487"/>
    <w:rsid w:val="006C6534"/>
    <w:rsid w:val="008F4E5D"/>
    <w:rsid w:val="00A966EE"/>
    <w:rsid w:val="00AF187E"/>
    <w:rsid w:val="00BC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65BE1"/>
  <w15:docId w15:val="{3974FEA4-E427-4328-B46F-DE383D1F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F4E5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Lienhypertexte">
    <w:name w:val="Hyperlink"/>
    <w:basedOn w:val="Policepardfaut"/>
    <w:uiPriority w:val="99"/>
    <w:unhideWhenUsed/>
    <w:rsid w:val="008F4E5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F1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.emili.aura@uv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garita.vadillo@uv.es" TargetMode="External"/><Relationship Id="rId5" Type="http://schemas.openxmlformats.org/officeDocument/2006/relationships/hyperlink" Target="mailto:nicole.balcazar@uv.es" TargetMode="External"/><Relationship Id="rId4" Type="http://schemas.openxmlformats.org/officeDocument/2006/relationships/hyperlink" Target="mailto:begonya.soler@dival.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SOLER MAYOR - BEGOÑA</dc:creator>
  <cp:keywords/>
  <dc:description/>
  <cp:lastModifiedBy>hp</cp:lastModifiedBy>
  <cp:revision>7</cp:revision>
  <dcterms:created xsi:type="dcterms:W3CDTF">2021-07-30T07:15:00Z</dcterms:created>
  <dcterms:modified xsi:type="dcterms:W3CDTF">2021-08-01T23:26:00Z</dcterms:modified>
</cp:coreProperties>
</file>