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E09D" w14:textId="399D457B" w:rsidR="009E0C0E" w:rsidRPr="00651A03" w:rsidRDefault="00740BBE" w:rsidP="00334AEC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Times New Roman"/>
          <w:b/>
          <w:bCs/>
          <w:sz w:val="20"/>
          <w:szCs w:val="20"/>
        </w:rPr>
        <w:t xml:space="preserve">Habitat and </w:t>
      </w:r>
      <w:r w:rsidR="009D1CBE">
        <w:rPr>
          <w:rFonts w:ascii="Verdana" w:hAnsi="Verdana" w:cs="Times New Roman"/>
          <w:b/>
          <w:bCs/>
          <w:sz w:val="20"/>
          <w:szCs w:val="20"/>
        </w:rPr>
        <w:t xml:space="preserve">ecology </w:t>
      </w:r>
      <w:r>
        <w:rPr>
          <w:rFonts w:ascii="Verdana" w:hAnsi="Verdana" w:cs="Times New Roman"/>
          <w:b/>
          <w:bCs/>
          <w:sz w:val="20"/>
          <w:szCs w:val="20"/>
        </w:rPr>
        <w:t>of red deer and horse from the</w:t>
      </w:r>
      <w:r w:rsidR="009D1CBE">
        <w:rPr>
          <w:rFonts w:ascii="Verdana" w:hAnsi="Verdana" w:cs="Times New Roman"/>
          <w:b/>
          <w:bCs/>
          <w:sz w:val="20"/>
          <w:szCs w:val="20"/>
        </w:rPr>
        <w:t xml:space="preserve"> high</w:t>
      </w:r>
      <w:r w:rsidR="00BE4BA2">
        <w:rPr>
          <w:rFonts w:ascii="Verdana" w:hAnsi="Verdana" w:cs="Times New Roman"/>
          <w:b/>
          <w:bCs/>
          <w:sz w:val="20"/>
          <w:szCs w:val="20"/>
        </w:rPr>
        <w:t>-</w:t>
      </w:r>
      <w:r w:rsidR="009D1CBE">
        <w:rPr>
          <w:rFonts w:ascii="Verdana" w:hAnsi="Verdana" w:cs="Times New Roman"/>
          <w:b/>
          <w:bCs/>
          <w:sz w:val="20"/>
          <w:szCs w:val="20"/>
        </w:rPr>
        <w:t xml:space="preserve">altitude </w:t>
      </w:r>
      <w:r w:rsidR="005D6217">
        <w:rPr>
          <w:rFonts w:ascii="Verdana" w:hAnsi="Verdana" w:cs="Times New Roman"/>
          <w:b/>
          <w:bCs/>
          <w:sz w:val="20"/>
          <w:szCs w:val="20"/>
        </w:rPr>
        <w:t xml:space="preserve">site of </w:t>
      </w:r>
      <w:proofErr w:type="spellStart"/>
      <w:r w:rsidR="005D6217">
        <w:rPr>
          <w:rFonts w:ascii="Verdana" w:hAnsi="Verdana" w:cs="Times New Roman"/>
          <w:b/>
          <w:bCs/>
          <w:sz w:val="20"/>
          <w:szCs w:val="20"/>
        </w:rPr>
        <w:t>Montlléo</w:t>
      </w:r>
      <w:proofErr w:type="spellEnd"/>
      <w:r w:rsidR="005D6217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E5BB3">
        <w:rPr>
          <w:rFonts w:ascii="Verdana" w:hAnsi="Verdana" w:cs="Times New Roman"/>
          <w:b/>
          <w:bCs/>
          <w:sz w:val="20"/>
          <w:szCs w:val="20"/>
        </w:rPr>
        <w:t xml:space="preserve">(Catalonia, Spain) </w:t>
      </w:r>
      <w:r w:rsidR="005D6217">
        <w:rPr>
          <w:rFonts w:ascii="Verdana" w:hAnsi="Verdana" w:cs="Times New Roman"/>
          <w:b/>
          <w:bCs/>
          <w:sz w:val="20"/>
          <w:szCs w:val="20"/>
        </w:rPr>
        <w:t>during the Magdalenian</w:t>
      </w:r>
    </w:p>
    <w:p w14:paraId="471D8147" w14:textId="77777777" w:rsidR="006A6577" w:rsidRPr="00B90A9A" w:rsidRDefault="006A6577" w:rsidP="00334AEC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1EFEBE0F" w14:textId="0C5E0576" w:rsidR="00637361" w:rsidRPr="00B50B0B" w:rsidRDefault="00B90A9A" w:rsidP="00334AEC">
      <w:pPr>
        <w:spacing w:line="360" w:lineRule="auto"/>
        <w:jc w:val="both"/>
        <w:rPr>
          <w:rFonts w:ascii="Verdana" w:hAnsi="Verdana" w:cs="Times New Roman"/>
          <w:sz w:val="20"/>
          <w:szCs w:val="20"/>
          <w:lang/>
        </w:rPr>
      </w:pPr>
      <w:r w:rsidRPr="008E19E5">
        <w:rPr>
          <w:rFonts w:ascii="Verdana" w:hAnsi="Verdana" w:cs="Times New Roman"/>
          <w:sz w:val="20"/>
          <w:szCs w:val="20"/>
          <w:lang w:val="en-US"/>
        </w:rPr>
        <w:t xml:space="preserve">Dorothée G. </w:t>
      </w:r>
      <w:proofErr w:type="spellStart"/>
      <w:r w:rsidRPr="008E19E5">
        <w:rPr>
          <w:rFonts w:ascii="Verdana" w:hAnsi="Verdana" w:cs="Times New Roman"/>
          <w:sz w:val="20"/>
          <w:szCs w:val="20"/>
          <w:lang w:val="en-US"/>
        </w:rPr>
        <w:t>Drucker</w:t>
      </w:r>
      <w:r w:rsidR="00862938" w:rsidRPr="008E19E5">
        <w:rPr>
          <w:rFonts w:ascii="Verdana" w:hAnsi="Verdana" w:cs="Times New Roman"/>
          <w:sz w:val="20"/>
          <w:szCs w:val="20"/>
          <w:vertAlign w:val="superscript"/>
          <w:lang w:val="en-US"/>
        </w:rPr>
        <w:t>a</w:t>
      </w:r>
      <w:proofErr w:type="spellEnd"/>
      <w:r w:rsidRPr="008E19E5">
        <w:rPr>
          <w:rFonts w:ascii="Verdana" w:hAnsi="Verdana" w:cs="Times New Roman"/>
          <w:sz w:val="20"/>
          <w:szCs w:val="20"/>
          <w:lang w:val="en-US"/>
        </w:rPr>
        <w:t xml:space="preserve">, </w:t>
      </w:r>
      <w:r w:rsidR="00A73A0F" w:rsidRPr="008E19E5">
        <w:rPr>
          <w:rFonts w:ascii="Verdana" w:hAnsi="Verdana" w:cs="Times New Roman"/>
          <w:sz w:val="20"/>
          <w:szCs w:val="20"/>
          <w:lang w:val="en-US"/>
        </w:rPr>
        <w:t xml:space="preserve">Ruth </w:t>
      </w:r>
      <w:proofErr w:type="spellStart"/>
      <w:r w:rsidR="00A73A0F" w:rsidRPr="008E19E5">
        <w:rPr>
          <w:rFonts w:ascii="Verdana" w:hAnsi="Verdana" w:cs="Times New Roman"/>
          <w:sz w:val="20"/>
          <w:szCs w:val="20"/>
          <w:lang w:val="en-US"/>
        </w:rPr>
        <w:t>Rey</w:t>
      </w:r>
      <w:r w:rsidR="0038613A" w:rsidRPr="0038613A">
        <w:rPr>
          <w:rFonts w:ascii="Verdana" w:hAnsi="Verdana" w:cs="Times New Roman"/>
          <w:sz w:val="20"/>
          <w:szCs w:val="20"/>
          <w:vertAlign w:val="superscript"/>
          <w:lang w:val="en-US"/>
        </w:rPr>
        <w:t>a,</w:t>
      </w:r>
      <w:r w:rsidR="00A73A0F" w:rsidRPr="008E19E5">
        <w:rPr>
          <w:rFonts w:ascii="Verdana" w:hAnsi="Verdana" w:cs="Times New Roman"/>
          <w:sz w:val="20"/>
          <w:szCs w:val="20"/>
          <w:vertAlign w:val="superscript"/>
          <w:lang w:val="en-US"/>
        </w:rPr>
        <w:t>b</w:t>
      </w:r>
      <w:proofErr w:type="spellEnd"/>
      <w:r w:rsidR="00A73A0F" w:rsidRPr="008E19E5">
        <w:rPr>
          <w:rFonts w:ascii="Verdana" w:hAnsi="Verdana" w:cs="Times New Roman"/>
          <w:sz w:val="20"/>
          <w:szCs w:val="20"/>
          <w:lang w:val="en-US"/>
        </w:rPr>
        <w:t xml:space="preserve">, </w:t>
      </w:r>
      <w:r w:rsidR="00FD7C76" w:rsidRPr="00FD7C76">
        <w:rPr>
          <w:rFonts w:ascii="Verdana" w:hAnsi="Verdana" w:cs="Times New Roman"/>
          <w:sz w:val="20"/>
          <w:szCs w:val="20"/>
          <w:lang/>
        </w:rPr>
        <w:t>Jordi Nadal</w:t>
      </w:r>
      <w:r w:rsidR="00FD7C76" w:rsidRPr="00FD7C76">
        <w:rPr>
          <w:rFonts w:ascii="Verdana" w:hAnsi="Verdana" w:cs="Times New Roman"/>
          <w:sz w:val="20"/>
          <w:szCs w:val="20"/>
          <w:vertAlign w:val="superscript"/>
        </w:rPr>
        <w:t>c</w:t>
      </w:r>
      <w:r w:rsidR="00FD7C76" w:rsidRPr="00FD7C76">
        <w:rPr>
          <w:rFonts w:ascii="Verdana" w:hAnsi="Verdana" w:cs="Times New Roman"/>
          <w:sz w:val="20"/>
          <w:szCs w:val="20"/>
        </w:rPr>
        <w:t xml:space="preserve">, </w:t>
      </w:r>
      <w:r w:rsidR="00FD7C76" w:rsidRPr="00FD7C76">
        <w:rPr>
          <w:rFonts w:ascii="Verdana" w:hAnsi="Verdana" w:cs="Times New Roman"/>
          <w:sz w:val="20"/>
          <w:szCs w:val="20"/>
          <w:lang/>
        </w:rPr>
        <w:t>Lluís Lloveras</w:t>
      </w:r>
      <w:r w:rsidR="00FD7C76" w:rsidRPr="00FD7C76">
        <w:rPr>
          <w:rFonts w:ascii="Verdana" w:hAnsi="Verdana" w:cs="Times New Roman"/>
          <w:sz w:val="20"/>
          <w:szCs w:val="20"/>
          <w:vertAlign w:val="superscript"/>
        </w:rPr>
        <w:t>c</w:t>
      </w:r>
      <w:r w:rsidR="00FD7C76" w:rsidRPr="00FD7C76">
        <w:rPr>
          <w:rFonts w:ascii="Verdana" w:hAnsi="Verdana" w:cs="Times New Roman"/>
          <w:sz w:val="20"/>
          <w:szCs w:val="20"/>
        </w:rPr>
        <w:t xml:space="preserve">, </w:t>
      </w:r>
      <w:r w:rsidR="00B50B0B" w:rsidRPr="00B50B0B">
        <w:rPr>
          <w:rFonts w:ascii="Verdana" w:hAnsi="Verdana" w:cs="Times New Roman"/>
          <w:sz w:val="20"/>
          <w:szCs w:val="20"/>
          <w:lang/>
        </w:rPr>
        <w:t>Marta Sánchez de la Torre</w:t>
      </w:r>
      <w:r w:rsidR="00FD7C76">
        <w:rPr>
          <w:rFonts w:ascii="Verdana" w:hAnsi="Verdana" w:cs="Times New Roman"/>
          <w:sz w:val="20"/>
          <w:szCs w:val="20"/>
          <w:vertAlign w:val="superscript"/>
          <w:lang w:val="en-US"/>
        </w:rPr>
        <w:t>c</w:t>
      </w:r>
      <w:r w:rsidR="00B50B0B">
        <w:rPr>
          <w:rFonts w:ascii="AdvOT596495f2" w:hAnsi="AdvOT596495f2" w:cs="AdvOT596495f2"/>
          <w:sz w:val="21"/>
          <w:szCs w:val="21"/>
        </w:rPr>
        <w:t>,</w:t>
      </w:r>
      <w:r w:rsidR="00FD7C76">
        <w:rPr>
          <w:rFonts w:ascii="AdvOT596495f2" w:hAnsi="AdvOT596495f2" w:cs="AdvOT596495f2"/>
          <w:sz w:val="21"/>
          <w:szCs w:val="21"/>
        </w:rPr>
        <w:t xml:space="preserve"> </w:t>
      </w:r>
      <w:r w:rsidR="008E19E5" w:rsidRPr="008E19E5">
        <w:rPr>
          <w:rFonts w:ascii="AdvOT596495f2" w:hAnsi="AdvOT596495f2" w:cs="AdvOT596495f2"/>
          <w:sz w:val="21"/>
          <w:szCs w:val="21"/>
        </w:rPr>
        <w:t xml:space="preserve"> </w:t>
      </w:r>
      <w:proofErr w:type="spellStart"/>
      <w:r w:rsidR="008E19E5" w:rsidRPr="008E19E5">
        <w:rPr>
          <w:rFonts w:ascii="Verdana" w:hAnsi="Verdana" w:cs="Times New Roman"/>
          <w:sz w:val="20"/>
          <w:szCs w:val="20"/>
        </w:rPr>
        <w:t>Josep</w:t>
      </w:r>
      <w:proofErr w:type="spellEnd"/>
      <w:r w:rsidR="008E19E5" w:rsidRPr="008E19E5">
        <w:rPr>
          <w:rFonts w:ascii="Verdana" w:hAnsi="Verdana" w:cs="Times New Roman"/>
          <w:sz w:val="20"/>
          <w:szCs w:val="20"/>
        </w:rPr>
        <w:t xml:space="preserve"> Maria </w:t>
      </w:r>
      <w:proofErr w:type="spellStart"/>
      <w:r w:rsidR="008E19E5" w:rsidRPr="008E19E5">
        <w:rPr>
          <w:rFonts w:ascii="Verdana" w:hAnsi="Verdana" w:cs="Times New Roman"/>
          <w:sz w:val="20"/>
          <w:szCs w:val="20"/>
        </w:rPr>
        <w:t>Fullola</w:t>
      </w:r>
      <w:r w:rsidR="00FD7C76">
        <w:rPr>
          <w:rFonts w:ascii="Verdana" w:hAnsi="Verdana" w:cs="Times New Roman"/>
          <w:sz w:val="20"/>
          <w:szCs w:val="20"/>
          <w:vertAlign w:val="superscript"/>
        </w:rPr>
        <w:t>c</w:t>
      </w:r>
      <w:proofErr w:type="spellEnd"/>
      <w:r w:rsidR="008E19E5">
        <w:rPr>
          <w:rFonts w:ascii="Verdana" w:hAnsi="Verdana" w:cs="Times New Roman"/>
          <w:sz w:val="20"/>
          <w:szCs w:val="20"/>
        </w:rPr>
        <w:t xml:space="preserve">, </w:t>
      </w:r>
      <w:r w:rsidR="00E64B7A" w:rsidRPr="008E19E5">
        <w:rPr>
          <w:rFonts w:ascii="Verdana" w:hAnsi="Verdana" w:cs="Times New Roman"/>
          <w:sz w:val="20"/>
          <w:szCs w:val="20"/>
          <w:lang w:val="en-US"/>
        </w:rPr>
        <w:t xml:space="preserve">Xavier </w:t>
      </w:r>
      <w:proofErr w:type="spellStart"/>
      <w:r w:rsidR="00E64B7A" w:rsidRPr="008E19E5">
        <w:rPr>
          <w:rFonts w:ascii="Verdana" w:hAnsi="Verdana" w:cs="Times New Roman"/>
          <w:sz w:val="20"/>
          <w:szCs w:val="20"/>
          <w:lang w:val="en-US"/>
        </w:rPr>
        <w:t>Mangado</w:t>
      </w:r>
      <w:r w:rsidR="00FD7C76" w:rsidRPr="00FD7C76">
        <w:rPr>
          <w:rFonts w:ascii="Verdana" w:hAnsi="Verdana" w:cs="Times New Roman"/>
          <w:sz w:val="20"/>
          <w:szCs w:val="20"/>
          <w:vertAlign w:val="superscript"/>
          <w:lang w:val="en-US"/>
        </w:rPr>
        <w:t>c</w:t>
      </w:r>
      <w:proofErr w:type="spellEnd"/>
    </w:p>
    <w:p w14:paraId="138BB805" w14:textId="77777777" w:rsidR="008A4725" w:rsidRPr="008E19E5" w:rsidRDefault="008A4725" w:rsidP="00334AEC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2DCE0ECE" w14:textId="3E521D0D" w:rsidR="00637361" w:rsidRPr="00862938" w:rsidRDefault="00862938" w:rsidP="00334AEC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862938">
        <w:rPr>
          <w:rFonts w:ascii="Verdana" w:hAnsi="Verdana" w:cs="Times New Roman"/>
          <w:sz w:val="20"/>
          <w:szCs w:val="20"/>
          <w:vertAlign w:val="superscript"/>
          <w:lang w:val="en-US"/>
        </w:rPr>
        <w:t>a</w:t>
      </w:r>
      <w:r w:rsidR="00813002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862938">
        <w:rPr>
          <w:rFonts w:ascii="Verdana" w:hAnsi="Verdana" w:cs="Times New Roman"/>
          <w:sz w:val="20"/>
          <w:szCs w:val="20"/>
          <w:lang w:val="en-US"/>
        </w:rPr>
        <w:t>Senckenberg</w:t>
      </w:r>
      <w:proofErr w:type="spellEnd"/>
      <w:r w:rsidRPr="00862938">
        <w:rPr>
          <w:rFonts w:ascii="Verdana" w:hAnsi="Verdana" w:cs="Times New Roman"/>
          <w:sz w:val="20"/>
          <w:szCs w:val="20"/>
          <w:lang w:val="en-US"/>
        </w:rPr>
        <w:t xml:space="preserve"> Cent</w:t>
      </w:r>
      <w:r w:rsidR="000D35CA">
        <w:rPr>
          <w:rFonts w:ascii="Verdana" w:hAnsi="Verdana" w:cs="Times New Roman"/>
          <w:sz w:val="20"/>
          <w:szCs w:val="20"/>
          <w:lang w:val="en-US"/>
        </w:rPr>
        <w:t>re</w:t>
      </w:r>
      <w:r w:rsidRPr="00862938">
        <w:rPr>
          <w:rFonts w:ascii="Verdana" w:hAnsi="Verdana" w:cs="Times New Roman"/>
          <w:sz w:val="20"/>
          <w:szCs w:val="20"/>
          <w:lang w:val="en-US"/>
        </w:rPr>
        <w:t xml:space="preserve"> for </w:t>
      </w:r>
      <w:r>
        <w:rPr>
          <w:rFonts w:ascii="Verdana" w:hAnsi="Verdana" w:cs="Times New Roman"/>
          <w:sz w:val="20"/>
          <w:szCs w:val="20"/>
          <w:lang w:val="en-US"/>
        </w:rPr>
        <w:t xml:space="preserve">Human Evolution and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Palaeoenvironment</w:t>
      </w:r>
      <w:proofErr w:type="spellEnd"/>
      <w:r w:rsidR="008E19E5">
        <w:rPr>
          <w:rFonts w:ascii="Verdana" w:hAnsi="Verdana" w:cs="Times New Roman"/>
          <w:sz w:val="20"/>
          <w:szCs w:val="20"/>
          <w:lang w:val="en-US"/>
        </w:rPr>
        <w:t xml:space="preserve"> (S-HEP)</w:t>
      </w:r>
      <w:r>
        <w:rPr>
          <w:rFonts w:ascii="Verdana" w:hAnsi="Verdana" w:cs="Times New Roman"/>
          <w:sz w:val="20"/>
          <w:szCs w:val="20"/>
          <w:lang w:val="en-US"/>
        </w:rPr>
        <w:t xml:space="preserve">, </w:t>
      </w:r>
      <w:r w:rsidR="000D35CA">
        <w:rPr>
          <w:rFonts w:ascii="Verdana" w:hAnsi="Verdana" w:cs="Times New Roman"/>
          <w:sz w:val="20"/>
          <w:szCs w:val="20"/>
          <w:lang w:val="en-US"/>
        </w:rPr>
        <w:t>University of Tübingen, Tübingen, Germany</w:t>
      </w:r>
    </w:p>
    <w:p w14:paraId="1CCA17B3" w14:textId="77777777" w:rsidR="00A73A0F" w:rsidRPr="00A73A0F" w:rsidRDefault="00A73A0F" w:rsidP="00A73A0F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de-DE"/>
        </w:rPr>
      </w:pPr>
      <w:r>
        <w:rPr>
          <w:rFonts w:ascii="Verdana" w:hAnsi="Verdana" w:cs="Times New Roman"/>
          <w:sz w:val="20"/>
          <w:szCs w:val="20"/>
          <w:vertAlign w:val="superscript"/>
          <w:lang w:val="de-DE"/>
        </w:rPr>
        <w:t>b</w:t>
      </w:r>
      <w:r w:rsidR="00EE49D6" w:rsidRPr="00B90A9A">
        <w:rPr>
          <w:rFonts w:ascii="Verdana" w:hAnsi="Verdana" w:cs="Times New Roman"/>
          <w:sz w:val="20"/>
          <w:szCs w:val="20"/>
          <w:lang w:val="de-DE"/>
        </w:rPr>
        <w:t xml:space="preserve"> </w:t>
      </w:r>
      <w:r w:rsidRPr="00A73A0F">
        <w:rPr>
          <w:rFonts w:ascii="Verdana" w:hAnsi="Verdana" w:cs="Times New Roman"/>
          <w:sz w:val="20"/>
          <w:szCs w:val="20"/>
          <w:lang w:val="de-DE"/>
        </w:rPr>
        <w:t xml:space="preserve">Fachbereich Geowissenschaften, AG Biogeologie, University </w:t>
      </w:r>
      <w:proofErr w:type="spellStart"/>
      <w:r w:rsidRPr="00A73A0F">
        <w:rPr>
          <w:rFonts w:ascii="Verdana" w:hAnsi="Verdana" w:cs="Times New Roman"/>
          <w:sz w:val="20"/>
          <w:szCs w:val="20"/>
          <w:lang w:val="de-DE"/>
        </w:rPr>
        <w:t>of</w:t>
      </w:r>
      <w:proofErr w:type="spellEnd"/>
      <w:r w:rsidRPr="00A73A0F">
        <w:rPr>
          <w:rFonts w:ascii="Verdana" w:hAnsi="Verdana" w:cs="Times New Roman"/>
          <w:sz w:val="20"/>
          <w:szCs w:val="20"/>
          <w:lang w:val="de-DE"/>
        </w:rPr>
        <w:t xml:space="preserve"> Tübingen, Tübingen, Germany</w:t>
      </w:r>
    </w:p>
    <w:p w14:paraId="348B3350" w14:textId="1AA951B3" w:rsidR="00E96152" w:rsidRPr="00E64B7A" w:rsidRDefault="00D65B29" w:rsidP="00E64B7A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D65B29">
        <w:rPr>
          <w:rFonts w:ascii="Verdana" w:hAnsi="Verdana" w:cs="Times New Roman"/>
          <w:sz w:val="20"/>
          <w:szCs w:val="20"/>
          <w:vertAlign w:val="superscript"/>
        </w:rPr>
        <w:t>c</w:t>
      </w:r>
      <w:r w:rsidR="008E19E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E19E5" w:rsidRPr="008E19E5">
        <w:rPr>
          <w:rFonts w:ascii="Verdana" w:hAnsi="Verdana" w:cs="Times New Roman"/>
          <w:sz w:val="20"/>
          <w:szCs w:val="20"/>
        </w:rPr>
        <w:t>Seminari</w:t>
      </w:r>
      <w:proofErr w:type="spellEnd"/>
      <w:r w:rsidR="008E19E5" w:rsidRPr="008E19E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E19E5" w:rsidRPr="008E19E5">
        <w:rPr>
          <w:rFonts w:ascii="Verdana" w:hAnsi="Verdana" w:cs="Times New Roman"/>
          <w:sz w:val="20"/>
          <w:szCs w:val="20"/>
        </w:rPr>
        <w:t>d'Estudis</w:t>
      </w:r>
      <w:proofErr w:type="spellEnd"/>
      <w:r w:rsidR="008E19E5" w:rsidRPr="008E19E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E19E5" w:rsidRPr="008E19E5">
        <w:rPr>
          <w:rFonts w:ascii="Verdana" w:hAnsi="Verdana" w:cs="Times New Roman"/>
          <w:sz w:val="20"/>
          <w:szCs w:val="20"/>
        </w:rPr>
        <w:t>i</w:t>
      </w:r>
      <w:proofErr w:type="spellEnd"/>
      <w:r w:rsidR="008E19E5" w:rsidRPr="008E19E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E19E5" w:rsidRPr="008E19E5">
        <w:rPr>
          <w:rFonts w:ascii="Verdana" w:hAnsi="Verdana" w:cs="Times New Roman"/>
          <w:sz w:val="20"/>
          <w:szCs w:val="20"/>
        </w:rPr>
        <w:t>Recerques</w:t>
      </w:r>
      <w:proofErr w:type="spellEnd"/>
      <w:r w:rsidR="008E19E5" w:rsidRPr="008E19E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E19E5" w:rsidRPr="008E19E5">
        <w:rPr>
          <w:rFonts w:ascii="Verdana" w:hAnsi="Verdana" w:cs="Times New Roman"/>
          <w:sz w:val="20"/>
          <w:szCs w:val="20"/>
        </w:rPr>
        <w:t>Prehistòriques</w:t>
      </w:r>
      <w:proofErr w:type="spellEnd"/>
      <w:r w:rsidR="008E19E5">
        <w:rPr>
          <w:rFonts w:ascii="Verdana" w:hAnsi="Verdana" w:cs="Times New Roman"/>
          <w:sz w:val="20"/>
          <w:szCs w:val="20"/>
        </w:rPr>
        <w:t xml:space="preserve"> (</w:t>
      </w:r>
      <w:r w:rsidR="00E64B7A" w:rsidRPr="00E64B7A">
        <w:rPr>
          <w:rFonts w:ascii="Verdana" w:hAnsi="Verdana" w:cs="Times New Roman"/>
          <w:sz w:val="20"/>
          <w:szCs w:val="20"/>
        </w:rPr>
        <w:t>SERP</w:t>
      </w:r>
      <w:r w:rsidR="00A60856">
        <w:rPr>
          <w:rFonts w:ascii="Verdana" w:hAnsi="Verdana" w:cs="Times New Roman"/>
          <w:sz w:val="20"/>
          <w:szCs w:val="20"/>
        </w:rPr>
        <w:t>)</w:t>
      </w:r>
      <w:r w:rsidR="00BC04D4">
        <w:rPr>
          <w:rFonts w:ascii="Verdana" w:hAnsi="Verdana" w:cs="Times New Roman"/>
          <w:sz w:val="20"/>
          <w:szCs w:val="20"/>
        </w:rPr>
        <w:t>,</w:t>
      </w:r>
      <w:r w:rsidR="00E64B7A" w:rsidRPr="00E64B7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E64B7A" w:rsidRPr="00E64B7A">
        <w:rPr>
          <w:rFonts w:ascii="Verdana" w:hAnsi="Verdana" w:cs="Times New Roman"/>
          <w:sz w:val="20"/>
          <w:szCs w:val="20"/>
        </w:rPr>
        <w:t>Universitat</w:t>
      </w:r>
      <w:proofErr w:type="spellEnd"/>
      <w:r w:rsidR="00E64B7A" w:rsidRPr="00E64B7A">
        <w:rPr>
          <w:rFonts w:ascii="Verdana" w:hAnsi="Verdana" w:cs="Times New Roman"/>
          <w:sz w:val="20"/>
          <w:szCs w:val="20"/>
        </w:rPr>
        <w:t xml:space="preserve"> de Barcelona, Barcelona, Spain</w:t>
      </w:r>
    </w:p>
    <w:p w14:paraId="199C6DFB" w14:textId="77777777" w:rsidR="00EE49D6" w:rsidRPr="00E64B7A" w:rsidRDefault="00EE49D6" w:rsidP="00334AEC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55A04C23" w14:textId="325057EF" w:rsidR="008F4140" w:rsidRDefault="00256556" w:rsidP="00334AEC">
      <w:pPr>
        <w:spacing w:line="36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en-US"/>
        </w:rPr>
      </w:pP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Montlléo</w:t>
      </w:r>
      <w:proofErr w:type="spellEnd"/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is an open-air site </w:t>
      </w:r>
      <w:r w:rsidR="00CF554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located in the </w:t>
      </w:r>
      <w:proofErr w:type="spellStart"/>
      <w:r w:rsidR="00CF554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Cerdanya</w:t>
      </w:r>
      <w:proofErr w:type="spellEnd"/>
      <w:r w:rsidR="00CF554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valley in the Pyrenees close to the river Segre and at 1134 m above sea level. Excavated since 2000 by the SERP team of the University of Barcelona, the site </w:t>
      </w:r>
      <w:r w:rsidR="000A3D62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revealed an early Magdalenian occupation dated between</w:t>
      </w:r>
      <w:r w:rsidR="00823635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</w:t>
      </w:r>
      <w:r w:rsidR="00F427C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16,900 and 15,400</w:t>
      </w:r>
      <w:r w:rsidR="00823635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</w:t>
      </w:r>
      <w:r w:rsidR="00F427C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years BP (ca. 20,400-18,700 </w:t>
      </w:r>
      <w:proofErr w:type="spellStart"/>
      <w:r w:rsidR="00F427C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cal</w:t>
      </w:r>
      <w:proofErr w:type="spellEnd"/>
      <w:r w:rsidR="00F427C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BP) coeval to the GS-2a phase</w:t>
      </w:r>
      <w:r w:rsidR="00BC14D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, as well as a previous phase in the Final Solutrean around 18,800 years BP (ca. 22,800 </w:t>
      </w:r>
      <w:proofErr w:type="spellStart"/>
      <w:r w:rsidR="00BC14D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cal</w:t>
      </w:r>
      <w:proofErr w:type="spellEnd"/>
      <w:r w:rsidR="00BC14D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BP</w:t>
      </w:r>
      <w:r w:rsidR="000F44E3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; </w:t>
      </w:r>
      <w:proofErr w:type="spellStart"/>
      <w:r w:rsidR="000F44E3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Mangado</w:t>
      </w:r>
      <w:proofErr w:type="spellEnd"/>
      <w:r w:rsidR="000F44E3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et al., 2019</w:t>
      </w:r>
      <w:r w:rsidR="00BC14D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)</w:t>
      </w:r>
      <w:r w:rsidR="00F427C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. The archeological investigation exposed </w:t>
      </w:r>
      <w:r w:rsidR="00CF554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a large range of lithic artefacts </w:t>
      </w:r>
      <w:r w:rsidR="00F306E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made of raw material of different origins</w:t>
      </w:r>
      <w:r w:rsidR="000603BC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, north and south of the mountains</w:t>
      </w:r>
      <w:r w:rsidR="00F306E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(</w:t>
      </w:r>
      <w:r w:rsidR="00F306EB" w:rsidRPr="00F306EB">
        <w:rPr>
          <w:rFonts w:ascii="Verdana" w:hAnsi="Verdana" w:cs="Times New Roman"/>
          <w:color w:val="000000" w:themeColor="text1"/>
          <w:sz w:val="20"/>
          <w:szCs w:val="20"/>
        </w:rPr>
        <w:t>Sánchez de la Torre</w:t>
      </w:r>
      <w:r w:rsidR="00F306EB">
        <w:rPr>
          <w:rFonts w:ascii="Verdana" w:hAnsi="Verdana" w:cs="Times New Roman"/>
          <w:color w:val="000000" w:themeColor="text1"/>
          <w:sz w:val="20"/>
          <w:szCs w:val="20"/>
        </w:rPr>
        <w:t xml:space="preserve"> et al., 2019)</w:t>
      </w:r>
      <w:r w:rsidR="000603BC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, </w:t>
      </w:r>
      <w:r w:rsidR="00F306E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and </w:t>
      </w:r>
      <w:r w:rsidR="00EC3747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introduced</w:t>
      </w:r>
      <w:r w:rsidR="00F306E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in the site</w:t>
      </w:r>
      <w:r w:rsidR="00EC3747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as bulk or pre-formed shape </w:t>
      </w:r>
      <w:r w:rsidR="009B5507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(</w:t>
      </w:r>
      <w:proofErr w:type="spellStart"/>
      <w:r w:rsidR="009B5507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Fullola</w:t>
      </w:r>
      <w:proofErr w:type="spellEnd"/>
      <w:r w:rsidR="009B5507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et al., 2012).</w:t>
      </w:r>
      <w:r w:rsidR="004E773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</w:t>
      </w:r>
      <w:r w:rsidR="008F414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Perforated </w:t>
      </w:r>
      <w:proofErr w:type="spellStart"/>
      <w:r w:rsidR="008F414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molluscs</w:t>
      </w:r>
      <w:proofErr w:type="spellEnd"/>
      <w:r w:rsidR="008F414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of both Medit</w:t>
      </w:r>
      <w:r w:rsidR="00823635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e</w:t>
      </w:r>
      <w:r w:rsidR="008F414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rr</w:t>
      </w:r>
      <w:r w:rsidR="00823635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a</w:t>
      </w:r>
      <w:r w:rsidR="008F414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nean and Atlantic origin</w:t>
      </w:r>
      <w:r w:rsidR="004E103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s</w:t>
      </w:r>
      <w:r w:rsidR="008F414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confirm the strategic position </w:t>
      </w:r>
      <w:r w:rsidR="004E103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of the site</w:t>
      </w:r>
      <w:r w:rsidR="00E92398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</w:t>
      </w:r>
      <w:r w:rsidR="00557B22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on a north-south and west-east raw material transit </w:t>
      </w:r>
      <w:r w:rsidR="00E92398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(</w:t>
      </w:r>
      <w:proofErr w:type="spellStart"/>
      <w:r w:rsidR="00E92398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Mangado</w:t>
      </w:r>
      <w:proofErr w:type="spellEnd"/>
      <w:r w:rsidR="00E92398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et al., 2014)</w:t>
      </w:r>
      <w:r w:rsidR="004E103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. Faunal remains are dominated by horse (</w:t>
      </w:r>
      <w:r w:rsidR="004E103E" w:rsidRPr="00E92398">
        <w:rPr>
          <w:rFonts w:ascii="Verdana" w:hAnsi="Verdana" w:cs="Times New Roman"/>
          <w:i/>
          <w:iCs/>
          <w:color w:val="000000" w:themeColor="text1"/>
          <w:sz w:val="20"/>
          <w:szCs w:val="20"/>
          <w:lang w:val="en-US"/>
        </w:rPr>
        <w:t xml:space="preserve">Equus </w:t>
      </w:r>
      <w:r w:rsidR="009F790D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sp.</w:t>
      </w:r>
      <w:r w:rsidR="004E103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), red deer (</w:t>
      </w:r>
      <w:r w:rsidR="004E103E" w:rsidRPr="00E92398">
        <w:rPr>
          <w:rFonts w:ascii="Verdana" w:hAnsi="Verdana" w:cs="Times New Roman"/>
          <w:i/>
          <w:iCs/>
          <w:color w:val="000000" w:themeColor="text1"/>
          <w:sz w:val="20"/>
          <w:szCs w:val="20"/>
          <w:lang w:val="en-US"/>
        </w:rPr>
        <w:t>Cervus elaphus</w:t>
      </w:r>
      <w:r w:rsidR="004E103E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) and </w:t>
      </w:r>
      <w:r w:rsidR="006A7D0A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small bovids</w:t>
      </w:r>
      <w:r w:rsidR="004E773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="004E7739" w:rsidRPr="004E7739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Rupicapra</w:t>
      </w:r>
      <w:proofErr w:type="spellEnd"/>
      <w:r w:rsidR="004E7739" w:rsidRPr="004E7739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4E7739" w:rsidRPr="004E7739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rupicapra</w:t>
      </w:r>
      <w:proofErr w:type="spellEnd"/>
      <w:r w:rsidR="004E7739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</w:t>
      </w:r>
      <w:r w:rsidR="004E7739">
        <w:rPr>
          <w:rFonts w:ascii="Verdana" w:hAnsi="Verdana" w:cs="Times New Roman"/>
          <w:color w:val="000000" w:themeColor="text1"/>
          <w:sz w:val="20"/>
          <w:szCs w:val="20"/>
        </w:rPr>
        <w:t xml:space="preserve">and </w:t>
      </w:r>
      <w:r w:rsidR="004E7739" w:rsidRPr="004E7739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Capra </w:t>
      </w:r>
      <w:proofErr w:type="spellStart"/>
      <w:r w:rsidR="004E7739" w:rsidRPr="004E7739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pyrenaica</w:t>
      </w:r>
      <w:proofErr w:type="spellEnd"/>
      <w:r w:rsidR="004E7739" w:rsidRPr="004E7739">
        <w:rPr>
          <w:rFonts w:ascii="Verdana" w:hAnsi="Verdana" w:cs="Times New Roman"/>
          <w:color w:val="000000" w:themeColor="text1"/>
          <w:sz w:val="20"/>
          <w:szCs w:val="20"/>
        </w:rPr>
        <w:t>)</w:t>
      </w:r>
      <w:r w:rsidR="00A71891">
        <w:rPr>
          <w:rFonts w:ascii="Verdana" w:hAnsi="Verdana" w:cs="Times New Roman"/>
          <w:color w:val="000000" w:themeColor="text1"/>
          <w:sz w:val="20"/>
          <w:szCs w:val="20"/>
        </w:rPr>
        <w:t>, while</w:t>
      </w:r>
      <w:r w:rsidR="004E773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</w:t>
      </w:r>
      <w:r w:rsidR="00A71891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rabbit is also represented </w:t>
      </w:r>
      <w:r w:rsidR="004E773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(</w:t>
      </w:r>
      <w:proofErr w:type="spellStart"/>
      <w:r w:rsidR="004E773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Mangado</w:t>
      </w:r>
      <w:proofErr w:type="spellEnd"/>
      <w:r w:rsidR="004E773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et al., 2015)</w:t>
      </w:r>
      <w:r w:rsidR="006A7D0A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. </w:t>
      </w:r>
      <w:r w:rsidR="00A71891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Horse and red deer were likely the main source of meat for the early Magdalenian hunter-gatherers of </w:t>
      </w:r>
      <w:proofErr w:type="spellStart"/>
      <w:r w:rsidR="00A71891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Montlléo</w:t>
      </w:r>
      <w:proofErr w:type="spellEnd"/>
      <w:r w:rsidR="00E4667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who may have exploited the position of the site to exploit both lower and upper part</w:t>
      </w:r>
      <w:r w:rsidR="009F790D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s</w:t>
      </w:r>
      <w:r w:rsidR="00E4667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of the</w:t>
      </w:r>
      <w:r w:rsidR="00A71891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</w:t>
      </w:r>
      <w:r w:rsidR="00E4667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Segre valley (Mas et al., 2018).</w:t>
      </w:r>
    </w:p>
    <w:p w14:paraId="12F2D120" w14:textId="234433CC" w:rsidR="00983EE4" w:rsidRDefault="00983EE4" w:rsidP="00334AEC">
      <w:pPr>
        <w:spacing w:line="36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en-US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In this </w:t>
      </w:r>
      <w:r w:rsidR="0038613A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communication</w:t>
      </w:r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, we aim at recon</w:t>
      </w:r>
      <w:r w:rsidR="00F24D2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s</w:t>
      </w:r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tructing the diet and habitat of horse and red deer found</w:t>
      </w:r>
      <w:r w:rsidR="009F790D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from the Magdalenian occupation</w:t>
      </w:r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at </w:t>
      </w: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Montlléo</w:t>
      </w:r>
      <w:proofErr w:type="spellEnd"/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through isotopic investigation. We have conducted intra-individual sampling of enamel along molar teeth and measure the relative abundance of </w:t>
      </w:r>
      <w:r w:rsidRPr="00DF356C">
        <w:rPr>
          <w:rFonts w:ascii="Verdana" w:hAnsi="Verdana" w:cs="Times New Roman"/>
          <w:color w:val="000000" w:themeColor="text1"/>
          <w:sz w:val="20"/>
          <w:szCs w:val="20"/>
          <w:vertAlign w:val="superscript"/>
          <w:lang w:val="en-US"/>
        </w:rPr>
        <w:t>13</w:t>
      </w:r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C and </w:t>
      </w:r>
      <w:r w:rsidRPr="00DF356C">
        <w:rPr>
          <w:rFonts w:ascii="Verdana" w:hAnsi="Verdana" w:cs="Times New Roman"/>
          <w:color w:val="000000" w:themeColor="text1"/>
          <w:sz w:val="20"/>
          <w:szCs w:val="20"/>
          <w:vertAlign w:val="superscript"/>
          <w:lang w:val="en-US"/>
        </w:rPr>
        <w:t>18</w:t>
      </w:r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O in carbonate. The results should provide information on </w:t>
      </w:r>
      <w:r w:rsidR="00B5335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seasonal variation in diet and environment experienced by </w:t>
      </w:r>
      <w:r w:rsidR="004571A1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both</w:t>
      </w:r>
      <w:r w:rsidR="00B5335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species. </w:t>
      </w:r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In parallel, bone</w:t>
      </w:r>
      <w:r w:rsidR="00B5335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s</w:t>
      </w:r>
      <w:r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of horse and red deer were </w:t>
      </w:r>
      <w:r w:rsidR="00B5335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selected to extract collagen and perform </w:t>
      </w:r>
      <w:r w:rsidR="00B53350" w:rsidRPr="00DF356C">
        <w:rPr>
          <w:rFonts w:ascii="Verdana" w:hAnsi="Verdana" w:cs="Times New Roman"/>
          <w:color w:val="000000" w:themeColor="text1"/>
          <w:sz w:val="20"/>
          <w:szCs w:val="20"/>
          <w:vertAlign w:val="superscript"/>
          <w:lang w:val="en-US"/>
        </w:rPr>
        <w:t>13</w:t>
      </w:r>
      <w:r w:rsidR="00B5335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C and </w:t>
      </w:r>
      <w:r w:rsidR="00B53350" w:rsidRPr="00DF356C">
        <w:rPr>
          <w:rFonts w:ascii="Verdana" w:hAnsi="Verdana" w:cs="Times New Roman"/>
          <w:color w:val="000000" w:themeColor="text1"/>
          <w:sz w:val="20"/>
          <w:szCs w:val="20"/>
          <w:vertAlign w:val="superscript"/>
          <w:lang w:val="en-US"/>
        </w:rPr>
        <w:t>15</w:t>
      </w:r>
      <w:r w:rsidR="00B5335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N analysis. Bone collagen remodels over the life of the specimens and provide</w:t>
      </w:r>
      <w:r w:rsidR="004571A1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s</w:t>
      </w:r>
      <w:r w:rsidR="00B5335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thus </w:t>
      </w:r>
      <w:r w:rsidR="00DF356C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l</w:t>
      </w:r>
      <w:r w:rsidR="00B5335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ong</w:t>
      </w:r>
      <w:r w:rsidR="00DF356C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-</w:t>
      </w:r>
      <w:r w:rsidR="00B53350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term information on diet and habitat of the animals.</w:t>
      </w:r>
      <w:r w:rsidR="00FA131A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</w:t>
      </w:r>
      <w:r w:rsidR="00DF356C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We will examine the possible niche partitioning between horse and red deer and potential differences in their habitat which will give insights into the hunting strategy of the </w:t>
      </w:r>
      <w:r w:rsidR="00C82F09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Magdalenian</w:t>
      </w:r>
      <w:r w:rsidR="00DF356C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human groups in mountainous areas.</w:t>
      </w:r>
    </w:p>
    <w:p w14:paraId="596C2FD1" w14:textId="77777777" w:rsidR="00E4667B" w:rsidRDefault="00E4667B" w:rsidP="00334AEC">
      <w:pPr>
        <w:spacing w:line="36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en-US"/>
        </w:rPr>
      </w:pPr>
    </w:p>
    <w:p w14:paraId="5BAB7DC5" w14:textId="6AE03157" w:rsidR="00C93FDA" w:rsidRPr="00C93FDA" w:rsidRDefault="00C93FDA" w:rsidP="00C93FDA">
      <w:pPr>
        <w:spacing w:line="276" w:lineRule="auto"/>
        <w:ind w:left="284" w:hanging="284"/>
        <w:jc w:val="both"/>
        <w:rPr>
          <w:rFonts w:ascii="Verdana" w:hAnsi="Verdana" w:cs="Times New Roman"/>
          <w:color w:val="000000" w:themeColor="text1"/>
          <w:sz w:val="18"/>
          <w:szCs w:val="18"/>
          <w:lang/>
        </w:rPr>
      </w:pPr>
      <w:r w:rsidRPr="00C93FDA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Fullola, J.M., </w:t>
      </w:r>
      <w:r w:rsidR="000F44E3" w:rsidRPr="000F44E3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 xml:space="preserve">et </w:t>
      </w:r>
      <w:r w:rsidR="000F44E3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>al.</w:t>
      </w:r>
      <w:r w:rsidRPr="00C93FDA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 2012. The Magdalenian in Catalonia (northeast Iberia). </w:t>
      </w:r>
      <w:r w:rsidRPr="00C93FDA">
        <w:rPr>
          <w:rFonts w:ascii="Verdana" w:hAnsi="Verdana" w:cs="Times New Roman"/>
          <w:i/>
          <w:iCs/>
          <w:color w:val="000000" w:themeColor="text1"/>
          <w:sz w:val="18"/>
          <w:szCs w:val="18"/>
          <w:lang/>
        </w:rPr>
        <w:t>Quaternary International</w:t>
      </w:r>
      <w:r w:rsidRPr="00C93FDA">
        <w:rPr>
          <w:rFonts w:ascii="Verdana" w:hAnsi="Verdana" w:cs="Times New Roman"/>
          <w:color w:val="000000" w:themeColor="text1"/>
          <w:sz w:val="18"/>
          <w:szCs w:val="18"/>
          <w:lang/>
        </w:rPr>
        <w:t>, </w:t>
      </w:r>
      <w:r w:rsidRPr="00C93FDA">
        <w:rPr>
          <w:rFonts w:ascii="Verdana" w:hAnsi="Verdana" w:cs="Times New Roman"/>
          <w:i/>
          <w:iCs/>
          <w:color w:val="000000" w:themeColor="text1"/>
          <w:sz w:val="18"/>
          <w:szCs w:val="18"/>
          <w:lang/>
        </w:rPr>
        <w:t>272</w:t>
      </w:r>
      <w:r w:rsidRPr="00C93FDA">
        <w:rPr>
          <w:rFonts w:ascii="Verdana" w:hAnsi="Verdana" w:cs="Times New Roman"/>
          <w:color w:val="000000" w:themeColor="text1"/>
          <w:sz w:val="18"/>
          <w:szCs w:val="18"/>
          <w:lang/>
        </w:rPr>
        <w:t>, pp.55-74.</w:t>
      </w:r>
    </w:p>
    <w:p w14:paraId="34592381" w14:textId="51F761B9" w:rsidR="00C93FDA" w:rsidRPr="00C93FDA" w:rsidRDefault="00C93FDA" w:rsidP="00C93FDA">
      <w:pPr>
        <w:spacing w:line="276" w:lineRule="auto"/>
        <w:ind w:left="284" w:hanging="284"/>
        <w:jc w:val="both"/>
        <w:rPr>
          <w:rFonts w:ascii="Verdana" w:hAnsi="Verdana" w:cs="Times New Roman"/>
          <w:color w:val="000000" w:themeColor="text1"/>
          <w:sz w:val="18"/>
          <w:szCs w:val="18"/>
          <w:lang/>
        </w:rPr>
      </w:pPr>
      <w:r w:rsidRPr="00C93FDA">
        <w:rPr>
          <w:rFonts w:ascii="Verdana" w:hAnsi="Verdana" w:cs="Times New Roman"/>
          <w:color w:val="000000" w:themeColor="text1"/>
          <w:sz w:val="18"/>
          <w:szCs w:val="18"/>
          <w:lang/>
        </w:rPr>
        <w:lastRenderedPageBreak/>
        <w:t xml:space="preserve">Mangado, X., </w:t>
      </w:r>
      <w:r w:rsidR="000F44E3" w:rsidRPr="003A6FFE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>et al.</w:t>
      </w:r>
      <w:r w:rsidRPr="00C93FDA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 2014. Silex et coquillages. Approche à l’identification des territoires socioéconomiques des Magdaléniens du versant sud des Pyrénées catalans. </w:t>
      </w:r>
      <w:r w:rsidRPr="00C93FDA">
        <w:rPr>
          <w:rFonts w:ascii="Verdana" w:hAnsi="Verdana" w:cs="Times New Roman"/>
          <w:i/>
          <w:iCs/>
          <w:color w:val="000000" w:themeColor="text1"/>
          <w:sz w:val="18"/>
          <w:szCs w:val="18"/>
          <w:lang/>
        </w:rPr>
        <w:t>Modes de contacts et de déplacements au Paléolithique eurasiatique</w:t>
      </w:r>
      <w:r w:rsidRPr="00C93FDA">
        <w:rPr>
          <w:rFonts w:ascii="Verdana" w:hAnsi="Verdana" w:cs="Times New Roman"/>
          <w:color w:val="000000" w:themeColor="text1"/>
          <w:sz w:val="18"/>
          <w:szCs w:val="18"/>
          <w:lang/>
        </w:rPr>
        <w:t>, pp.473-489.</w:t>
      </w:r>
    </w:p>
    <w:p w14:paraId="1DFC76AB" w14:textId="68060F09" w:rsidR="00C93FDA" w:rsidRDefault="00C93FDA" w:rsidP="00C93FDA">
      <w:pPr>
        <w:spacing w:line="276" w:lineRule="auto"/>
        <w:ind w:left="284" w:hanging="284"/>
        <w:jc w:val="both"/>
        <w:rPr>
          <w:rFonts w:ascii="Verdana" w:hAnsi="Verdana" w:cs="Times New Roman"/>
          <w:color w:val="000000" w:themeColor="text1"/>
          <w:sz w:val="18"/>
          <w:szCs w:val="18"/>
          <w:lang/>
        </w:rPr>
      </w:pPr>
      <w:r w:rsidRPr="00C93FDA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Mangado, X., </w:t>
      </w:r>
      <w:r w:rsidR="000F44E3" w:rsidRPr="003A6FFE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>et al.</w:t>
      </w:r>
      <w:r w:rsidRPr="00C93FDA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 2015. Montlleó (Prats i Sansor, Cerdanya). Balanç de 10 campanyes d'excavació.</w:t>
      </w:r>
    </w:p>
    <w:p w14:paraId="56AB0F99" w14:textId="55676748" w:rsidR="000F44E3" w:rsidRPr="000F44E3" w:rsidRDefault="000F44E3" w:rsidP="000F44E3">
      <w:pPr>
        <w:spacing w:line="276" w:lineRule="auto"/>
        <w:ind w:left="284" w:hanging="284"/>
        <w:jc w:val="both"/>
        <w:rPr>
          <w:rFonts w:ascii="Verdana" w:hAnsi="Verdana" w:cs="Times New Roman"/>
          <w:color w:val="000000" w:themeColor="text1"/>
          <w:sz w:val="18"/>
          <w:szCs w:val="18"/>
          <w:lang/>
        </w:rPr>
      </w:pPr>
      <w:r w:rsidRPr="000F44E3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Mangado, X., </w:t>
      </w:r>
      <w:r w:rsidRPr="003A6FFE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>et al.</w:t>
      </w:r>
      <w:r w:rsidRPr="000F44E3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 2017, April. Les occupations humaines sur le sitede plein air du Paléolithiquesupérieur de Montlleó (Prats iSansor, Lérida, Espagne): nouvellesdonnées. In </w:t>
      </w:r>
      <w:r w:rsidRPr="000F44E3">
        <w:rPr>
          <w:rFonts w:ascii="Verdana" w:hAnsi="Verdana" w:cs="Times New Roman"/>
          <w:i/>
          <w:iCs/>
          <w:color w:val="000000" w:themeColor="text1"/>
          <w:sz w:val="18"/>
          <w:szCs w:val="18"/>
          <w:lang/>
        </w:rPr>
        <w:t>«circulations montagnardes, circulations européennes» 142e colloque du CTHS</w:t>
      </w:r>
      <w:r w:rsidRPr="000F44E3">
        <w:rPr>
          <w:rFonts w:ascii="Verdana" w:hAnsi="Verdana" w:cs="Times New Roman"/>
          <w:color w:val="000000" w:themeColor="text1"/>
          <w:sz w:val="18"/>
          <w:szCs w:val="18"/>
          <w:lang/>
        </w:rPr>
        <w:t>.</w:t>
      </w:r>
    </w:p>
    <w:p w14:paraId="12CC5090" w14:textId="10B7290D" w:rsidR="00954788" w:rsidRDefault="00954788" w:rsidP="00954788">
      <w:pPr>
        <w:spacing w:line="276" w:lineRule="auto"/>
        <w:ind w:left="284" w:hanging="284"/>
        <w:jc w:val="both"/>
        <w:rPr>
          <w:rFonts w:ascii="Verdana" w:hAnsi="Verdana" w:cs="Times New Roman"/>
          <w:color w:val="000000" w:themeColor="text1"/>
          <w:sz w:val="18"/>
          <w:szCs w:val="18"/>
          <w:lang/>
        </w:rPr>
      </w:pPr>
      <w:r w:rsidRPr="00954788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Mas, B., </w:t>
      </w:r>
      <w:r w:rsidR="000F44E3" w:rsidRPr="009F790D">
        <w:rPr>
          <w:rFonts w:ascii="Verdana" w:hAnsi="Verdana" w:cs="Times New Roman"/>
          <w:color w:val="000000" w:themeColor="text1"/>
          <w:sz w:val="18"/>
          <w:szCs w:val="18"/>
          <w:lang w:val="en-US"/>
        </w:rPr>
        <w:t>et al.</w:t>
      </w:r>
      <w:r w:rsidRPr="00954788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 2018. Settlement patterns during the Magdalenian in the south-eastern Pyrenees, Iberian Peninsula. A territorial study based on GIS. </w:t>
      </w:r>
      <w:r w:rsidRPr="00954788">
        <w:rPr>
          <w:rFonts w:ascii="Verdana" w:hAnsi="Verdana" w:cs="Times New Roman"/>
          <w:i/>
          <w:iCs/>
          <w:color w:val="000000" w:themeColor="text1"/>
          <w:sz w:val="18"/>
          <w:szCs w:val="18"/>
          <w:lang/>
        </w:rPr>
        <w:t>Journal of Archaeological Science: Reports</w:t>
      </w:r>
      <w:r w:rsidRPr="00954788">
        <w:rPr>
          <w:rFonts w:ascii="Verdana" w:hAnsi="Verdana" w:cs="Times New Roman"/>
          <w:color w:val="000000" w:themeColor="text1"/>
          <w:sz w:val="18"/>
          <w:szCs w:val="18"/>
          <w:lang/>
        </w:rPr>
        <w:t>, </w:t>
      </w:r>
      <w:r w:rsidRPr="00954788">
        <w:rPr>
          <w:rFonts w:ascii="Verdana" w:hAnsi="Verdana" w:cs="Times New Roman"/>
          <w:i/>
          <w:iCs/>
          <w:color w:val="000000" w:themeColor="text1"/>
          <w:sz w:val="18"/>
          <w:szCs w:val="18"/>
          <w:lang/>
        </w:rPr>
        <w:t>22</w:t>
      </w:r>
      <w:r w:rsidRPr="00954788">
        <w:rPr>
          <w:rFonts w:ascii="Verdana" w:hAnsi="Verdana" w:cs="Times New Roman"/>
          <w:color w:val="000000" w:themeColor="text1"/>
          <w:sz w:val="18"/>
          <w:szCs w:val="18"/>
          <w:lang/>
        </w:rPr>
        <w:t>, pp.237-247.</w:t>
      </w:r>
    </w:p>
    <w:p w14:paraId="25EBC67C" w14:textId="04596688" w:rsidR="000F44E3" w:rsidRPr="000F44E3" w:rsidRDefault="000F44E3" w:rsidP="000F44E3">
      <w:pPr>
        <w:spacing w:line="276" w:lineRule="auto"/>
        <w:ind w:left="284" w:hanging="284"/>
        <w:jc w:val="both"/>
        <w:rPr>
          <w:rFonts w:ascii="Verdana" w:hAnsi="Verdana" w:cs="Times New Roman"/>
          <w:color w:val="000000" w:themeColor="text1"/>
          <w:sz w:val="18"/>
          <w:szCs w:val="18"/>
          <w:lang/>
        </w:rPr>
      </w:pPr>
      <w:r w:rsidRPr="000F44E3">
        <w:rPr>
          <w:rFonts w:ascii="Verdana" w:hAnsi="Verdana" w:cs="Times New Roman"/>
          <w:color w:val="000000" w:themeColor="text1"/>
          <w:sz w:val="18"/>
          <w:szCs w:val="18"/>
          <w:lang w:val="de-DE"/>
        </w:rPr>
        <w:t xml:space="preserve">Sánchez </w:t>
      </w:r>
      <w:r w:rsidRPr="000F44E3">
        <w:rPr>
          <w:rFonts w:ascii="Verdana" w:hAnsi="Verdana" w:cs="Times New Roman"/>
          <w:color w:val="000000" w:themeColor="text1"/>
          <w:sz w:val="18"/>
          <w:szCs w:val="18"/>
          <w:lang/>
        </w:rPr>
        <w:t>de la Torre, M</w:t>
      </w:r>
      <w:r w:rsidRPr="000F44E3">
        <w:rPr>
          <w:rFonts w:ascii="Verdana" w:hAnsi="Verdana" w:cs="Times New Roman"/>
          <w:color w:val="000000" w:themeColor="text1"/>
          <w:sz w:val="18"/>
          <w:szCs w:val="18"/>
          <w:lang w:val="de-DE"/>
        </w:rPr>
        <w:t>.</w:t>
      </w:r>
      <w:r w:rsidRPr="000F44E3">
        <w:rPr>
          <w:rFonts w:ascii="Verdana" w:hAnsi="Verdana" w:cs="Times New Roman"/>
          <w:color w:val="000000" w:themeColor="text1"/>
          <w:sz w:val="18"/>
          <w:szCs w:val="18"/>
          <w:lang/>
        </w:rPr>
        <w:t xml:space="preserve">, </w:t>
      </w:r>
      <w:r>
        <w:rPr>
          <w:rFonts w:ascii="Verdana" w:hAnsi="Verdana" w:cs="Times New Roman"/>
          <w:color w:val="000000" w:themeColor="text1"/>
          <w:sz w:val="18"/>
          <w:szCs w:val="18"/>
          <w:lang w:val="de-DE"/>
        </w:rPr>
        <w:t xml:space="preserve">et al. </w:t>
      </w:r>
      <w:r w:rsidRPr="000F44E3">
        <w:rPr>
          <w:rFonts w:ascii="Verdana" w:hAnsi="Verdana" w:cs="Times New Roman"/>
          <w:color w:val="000000" w:themeColor="text1"/>
          <w:sz w:val="18"/>
          <w:szCs w:val="18"/>
          <w:lang/>
        </w:rPr>
        <w:t>2019. Crossing the Pyrenees during the Late Glacial Maximum. The use of geochemistry to trace past human mobility. </w:t>
      </w:r>
      <w:r w:rsidRPr="000F44E3">
        <w:rPr>
          <w:rFonts w:ascii="Verdana" w:hAnsi="Verdana" w:cs="Times New Roman"/>
          <w:i/>
          <w:iCs/>
          <w:color w:val="000000" w:themeColor="text1"/>
          <w:sz w:val="18"/>
          <w:szCs w:val="18"/>
          <w:lang/>
        </w:rPr>
        <w:t>Journal of Anthropological Archaeology</w:t>
      </w:r>
      <w:r w:rsidRPr="000F44E3">
        <w:rPr>
          <w:rFonts w:ascii="Verdana" w:hAnsi="Verdana" w:cs="Times New Roman"/>
          <w:color w:val="000000" w:themeColor="text1"/>
          <w:sz w:val="18"/>
          <w:szCs w:val="18"/>
          <w:lang/>
        </w:rPr>
        <w:t>, </w:t>
      </w:r>
      <w:r w:rsidRPr="000F44E3">
        <w:rPr>
          <w:rFonts w:ascii="Verdana" w:hAnsi="Verdana" w:cs="Times New Roman"/>
          <w:i/>
          <w:iCs/>
          <w:color w:val="000000" w:themeColor="text1"/>
          <w:sz w:val="18"/>
          <w:szCs w:val="18"/>
          <w:lang/>
        </w:rPr>
        <w:t>56</w:t>
      </w:r>
      <w:r w:rsidRPr="000F44E3">
        <w:rPr>
          <w:rFonts w:ascii="Verdana" w:hAnsi="Verdana" w:cs="Times New Roman"/>
          <w:color w:val="000000" w:themeColor="text1"/>
          <w:sz w:val="18"/>
          <w:szCs w:val="18"/>
          <w:lang/>
        </w:rPr>
        <w:t>, p.101105.</w:t>
      </w:r>
    </w:p>
    <w:p w14:paraId="6F9A3DE9" w14:textId="77777777" w:rsidR="000F44E3" w:rsidRPr="00954788" w:rsidRDefault="000F44E3" w:rsidP="00954788">
      <w:pPr>
        <w:spacing w:line="276" w:lineRule="auto"/>
        <w:ind w:left="284" w:hanging="284"/>
        <w:jc w:val="both"/>
        <w:rPr>
          <w:rFonts w:ascii="Verdana" w:hAnsi="Verdana" w:cs="Times New Roman"/>
          <w:color w:val="000000" w:themeColor="text1"/>
          <w:sz w:val="18"/>
          <w:szCs w:val="18"/>
          <w:lang/>
        </w:rPr>
      </w:pPr>
    </w:p>
    <w:p w14:paraId="109C9FB9" w14:textId="492890C2" w:rsidR="00DF7439" w:rsidRPr="00954788" w:rsidRDefault="00DF7439" w:rsidP="00334AEC">
      <w:pPr>
        <w:spacing w:line="360" w:lineRule="auto"/>
        <w:jc w:val="both"/>
        <w:rPr>
          <w:rFonts w:ascii="Verdana" w:hAnsi="Verdana" w:cs="Times New Roman"/>
          <w:color w:val="4F81BD" w:themeColor="accent1"/>
          <w:sz w:val="20"/>
          <w:szCs w:val="20"/>
          <w:lang/>
        </w:rPr>
      </w:pPr>
    </w:p>
    <w:sectPr w:rsidR="00DF7439" w:rsidRPr="00954788" w:rsidSect="000F44E3">
      <w:pgSz w:w="11900" w:h="16840"/>
      <w:pgMar w:top="1134" w:right="1021" w:bottom="113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altName w:val="Minion Pro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OT596495f2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B0"/>
    <w:rsid w:val="00051CD5"/>
    <w:rsid w:val="000603BC"/>
    <w:rsid w:val="00073519"/>
    <w:rsid w:val="000A3D62"/>
    <w:rsid w:val="000D35CA"/>
    <w:rsid w:val="000F44E3"/>
    <w:rsid w:val="00103E02"/>
    <w:rsid w:val="001065D7"/>
    <w:rsid w:val="001B4373"/>
    <w:rsid w:val="001E307A"/>
    <w:rsid w:val="001E5BB3"/>
    <w:rsid w:val="00222BA2"/>
    <w:rsid w:val="0022413F"/>
    <w:rsid w:val="00231870"/>
    <w:rsid w:val="002537F9"/>
    <w:rsid w:val="00253B9C"/>
    <w:rsid w:val="00256556"/>
    <w:rsid w:val="0026728C"/>
    <w:rsid w:val="002E1703"/>
    <w:rsid w:val="002F2CA4"/>
    <w:rsid w:val="002F6022"/>
    <w:rsid w:val="00303D09"/>
    <w:rsid w:val="00307C22"/>
    <w:rsid w:val="003345D5"/>
    <w:rsid w:val="00334AEC"/>
    <w:rsid w:val="00366916"/>
    <w:rsid w:val="0038401F"/>
    <w:rsid w:val="0038613A"/>
    <w:rsid w:val="00397A92"/>
    <w:rsid w:val="003A08F7"/>
    <w:rsid w:val="003A6FFE"/>
    <w:rsid w:val="003B68A4"/>
    <w:rsid w:val="003B729D"/>
    <w:rsid w:val="003D353B"/>
    <w:rsid w:val="003E41BD"/>
    <w:rsid w:val="00416835"/>
    <w:rsid w:val="00431035"/>
    <w:rsid w:val="0045117C"/>
    <w:rsid w:val="00455BD6"/>
    <w:rsid w:val="004571A1"/>
    <w:rsid w:val="00487E3B"/>
    <w:rsid w:val="00491D5A"/>
    <w:rsid w:val="0049471E"/>
    <w:rsid w:val="004A3865"/>
    <w:rsid w:val="004D0E7A"/>
    <w:rsid w:val="004E103E"/>
    <w:rsid w:val="004E7739"/>
    <w:rsid w:val="004F5C3B"/>
    <w:rsid w:val="004F66A4"/>
    <w:rsid w:val="005005CE"/>
    <w:rsid w:val="005351E5"/>
    <w:rsid w:val="005375A5"/>
    <w:rsid w:val="0054375F"/>
    <w:rsid w:val="00551623"/>
    <w:rsid w:val="00557B22"/>
    <w:rsid w:val="005769BF"/>
    <w:rsid w:val="005D38B2"/>
    <w:rsid w:val="005D6217"/>
    <w:rsid w:val="006324BB"/>
    <w:rsid w:val="00633DE8"/>
    <w:rsid w:val="00635D6D"/>
    <w:rsid w:val="00637361"/>
    <w:rsid w:val="00645C35"/>
    <w:rsid w:val="00651A03"/>
    <w:rsid w:val="006634B7"/>
    <w:rsid w:val="006638E3"/>
    <w:rsid w:val="00681ADF"/>
    <w:rsid w:val="006A6577"/>
    <w:rsid w:val="006A7D0A"/>
    <w:rsid w:val="006B02FD"/>
    <w:rsid w:val="006B1BA4"/>
    <w:rsid w:val="006E182C"/>
    <w:rsid w:val="006F7D9A"/>
    <w:rsid w:val="0071480F"/>
    <w:rsid w:val="00735155"/>
    <w:rsid w:val="00737065"/>
    <w:rsid w:val="00740B10"/>
    <w:rsid w:val="00740BBE"/>
    <w:rsid w:val="007C03A6"/>
    <w:rsid w:val="007F00CC"/>
    <w:rsid w:val="00813002"/>
    <w:rsid w:val="00823635"/>
    <w:rsid w:val="00835C85"/>
    <w:rsid w:val="0084507C"/>
    <w:rsid w:val="008464AD"/>
    <w:rsid w:val="008574B0"/>
    <w:rsid w:val="00862938"/>
    <w:rsid w:val="008A2D64"/>
    <w:rsid w:val="008A4725"/>
    <w:rsid w:val="008C155D"/>
    <w:rsid w:val="008E19E5"/>
    <w:rsid w:val="008F4140"/>
    <w:rsid w:val="00922B4B"/>
    <w:rsid w:val="00954788"/>
    <w:rsid w:val="00983EE4"/>
    <w:rsid w:val="00990EC1"/>
    <w:rsid w:val="009B43D9"/>
    <w:rsid w:val="009B5507"/>
    <w:rsid w:val="009D1CBE"/>
    <w:rsid w:val="009E0C0E"/>
    <w:rsid w:val="009E6CC3"/>
    <w:rsid w:val="009F790D"/>
    <w:rsid w:val="00A068E5"/>
    <w:rsid w:val="00A4125D"/>
    <w:rsid w:val="00A43A15"/>
    <w:rsid w:val="00A57A6C"/>
    <w:rsid w:val="00A60856"/>
    <w:rsid w:val="00A62650"/>
    <w:rsid w:val="00A71891"/>
    <w:rsid w:val="00A71FC4"/>
    <w:rsid w:val="00A73A0F"/>
    <w:rsid w:val="00A82CB2"/>
    <w:rsid w:val="00AC3748"/>
    <w:rsid w:val="00AC58E0"/>
    <w:rsid w:val="00AF2FD5"/>
    <w:rsid w:val="00B107CB"/>
    <w:rsid w:val="00B1411A"/>
    <w:rsid w:val="00B2224E"/>
    <w:rsid w:val="00B50B0B"/>
    <w:rsid w:val="00B51BC7"/>
    <w:rsid w:val="00B53350"/>
    <w:rsid w:val="00B90A9A"/>
    <w:rsid w:val="00B9422B"/>
    <w:rsid w:val="00BA68E6"/>
    <w:rsid w:val="00BB71EB"/>
    <w:rsid w:val="00BC04D4"/>
    <w:rsid w:val="00BC14D9"/>
    <w:rsid w:val="00BD27AF"/>
    <w:rsid w:val="00BD760B"/>
    <w:rsid w:val="00BE17DB"/>
    <w:rsid w:val="00BE3CD0"/>
    <w:rsid w:val="00BE4BA2"/>
    <w:rsid w:val="00C04F71"/>
    <w:rsid w:val="00C06B29"/>
    <w:rsid w:val="00C130A8"/>
    <w:rsid w:val="00C14182"/>
    <w:rsid w:val="00C276DD"/>
    <w:rsid w:val="00C31E79"/>
    <w:rsid w:val="00C3335D"/>
    <w:rsid w:val="00C651E1"/>
    <w:rsid w:val="00C73820"/>
    <w:rsid w:val="00C82F09"/>
    <w:rsid w:val="00C90457"/>
    <w:rsid w:val="00C93FDA"/>
    <w:rsid w:val="00CE532E"/>
    <w:rsid w:val="00CF554B"/>
    <w:rsid w:val="00CF6BAC"/>
    <w:rsid w:val="00D058AF"/>
    <w:rsid w:val="00D14F6B"/>
    <w:rsid w:val="00D3256C"/>
    <w:rsid w:val="00D417EE"/>
    <w:rsid w:val="00D46FE2"/>
    <w:rsid w:val="00D5701C"/>
    <w:rsid w:val="00D65B29"/>
    <w:rsid w:val="00D731A9"/>
    <w:rsid w:val="00D74351"/>
    <w:rsid w:val="00DA7874"/>
    <w:rsid w:val="00DB6F92"/>
    <w:rsid w:val="00DB7D5E"/>
    <w:rsid w:val="00DF0D8F"/>
    <w:rsid w:val="00DF2246"/>
    <w:rsid w:val="00DF356C"/>
    <w:rsid w:val="00DF3D93"/>
    <w:rsid w:val="00DF5628"/>
    <w:rsid w:val="00DF7439"/>
    <w:rsid w:val="00E07D60"/>
    <w:rsid w:val="00E17807"/>
    <w:rsid w:val="00E24BDF"/>
    <w:rsid w:val="00E4667B"/>
    <w:rsid w:val="00E64B7A"/>
    <w:rsid w:val="00E757FC"/>
    <w:rsid w:val="00E91356"/>
    <w:rsid w:val="00E92398"/>
    <w:rsid w:val="00E96152"/>
    <w:rsid w:val="00EC3747"/>
    <w:rsid w:val="00EE49D6"/>
    <w:rsid w:val="00F11B9E"/>
    <w:rsid w:val="00F24071"/>
    <w:rsid w:val="00F24D20"/>
    <w:rsid w:val="00F306EB"/>
    <w:rsid w:val="00F427CE"/>
    <w:rsid w:val="00F87517"/>
    <w:rsid w:val="00F9116A"/>
    <w:rsid w:val="00FA131A"/>
    <w:rsid w:val="00FA582E"/>
    <w:rsid w:val="00FB45E4"/>
    <w:rsid w:val="00FD02C9"/>
    <w:rsid w:val="00FD7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4CD51"/>
  <w15:docId w15:val="{3C74BB60-590A-4C6F-A542-0B467282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F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92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Default">
    <w:name w:val="Default"/>
    <w:rsid w:val="008574B0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F5C3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5C3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5C3B"/>
    <w:rPr>
      <w:rFonts w:asciiTheme="minorHAnsi" w:hAnsiTheme="minorHAnsi" w:cstheme="minorBidi"/>
      <w:sz w:val="24"/>
      <w:szCs w:val="24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5C3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5C3B"/>
    <w:rPr>
      <w:rFonts w:asciiTheme="minorHAnsi" w:hAnsiTheme="minorHAnsi" w:cstheme="minorBid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Universität Tübingen - Institute for Geoscience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Drucker</dc:creator>
  <cp:keywords/>
  <dc:description/>
  <cp:lastModifiedBy>Microsoft Office User</cp:lastModifiedBy>
  <cp:revision>2</cp:revision>
  <cp:lastPrinted>2016-11-30T08:52:00Z</cp:lastPrinted>
  <dcterms:created xsi:type="dcterms:W3CDTF">2021-06-30T16:04:00Z</dcterms:created>
  <dcterms:modified xsi:type="dcterms:W3CDTF">2021-06-30T16:04:00Z</dcterms:modified>
</cp:coreProperties>
</file>