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CA573" w14:textId="77777777" w:rsidR="00F365AD" w:rsidRPr="00B8041F" w:rsidRDefault="00F365AD" w:rsidP="00B8041F">
      <w:pPr>
        <w:spacing w:after="80"/>
        <w:jc w:val="center"/>
        <w:rPr>
          <w:rFonts w:asciiTheme="minorHAnsi" w:hAnsiTheme="minorHAnsi" w:cstheme="minorHAnsi"/>
          <w:bCs/>
          <w:i/>
          <w:sz w:val="20"/>
          <w:szCs w:val="20"/>
          <w:lang w:val="en-GB"/>
        </w:rPr>
      </w:pPr>
      <w:r w:rsidRPr="00B8041F">
        <w:rPr>
          <w:rFonts w:asciiTheme="minorHAnsi" w:hAnsiTheme="minorHAnsi" w:cstheme="minorHAnsi"/>
          <w:bCs/>
          <w:i/>
          <w:sz w:val="20"/>
          <w:szCs w:val="20"/>
          <w:lang w:val="en-GB"/>
        </w:rPr>
        <w:t xml:space="preserve">Abstract to be submitted to </w:t>
      </w:r>
      <w:r w:rsidRPr="00B8041F">
        <w:rPr>
          <w:rFonts w:asciiTheme="minorHAnsi" w:hAnsiTheme="minorHAnsi" w:cstheme="minorHAnsi"/>
          <w:i/>
          <w:sz w:val="20"/>
          <w:szCs w:val="20"/>
          <w:lang w:val="en-GB"/>
        </w:rPr>
        <w:t>the UISPP session “River Archives”</w:t>
      </w:r>
    </w:p>
    <w:p w14:paraId="6E43F90D" w14:textId="77777777" w:rsidR="00F365AD" w:rsidRPr="00B8041F" w:rsidRDefault="00F365AD" w:rsidP="00B8041F">
      <w:pPr>
        <w:spacing w:after="8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40B6647B" w14:textId="77777777" w:rsidR="00F753A3" w:rsidRPr="00D82658" w:rsidRDefault="00936EF9" w:rsidP="00B8041F">
      <w:pPr>
        <w:spacing w:after="80"/>
        <w:jc w:val="center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3F1411">
        <w:rPr>
          <w:rFonts w:asciiTheme="minorHAnsi" w:hAnsiTheme="minorHAnsi" w:cstheme="minorHAnsi"/>
          <w:b/>
          <w:bCs/>
          <w:lang w:val="en-GB"/>
        </w:rPr>
        <w:t>New</w:t>
      </w:r>
      <w:r w:rsidR="00F753A3" w:rsidRPr="003F1411">
        <w:rPr>
          <w:rFonts w:asciiTheme="minorHAnsi" w:hAnsiTheme="minorHAnsi" w:cstheme="minorHAnsi"/>
          <w:b/>
          <w:bCs/>
          <w:lang w:val="en-GB"/>
        </w:rPr>
        <w:t xml:space="preserve"> Acheulean and Mousterian sites</w:t>
      </w:r>
      <w:r w:rsidRPr="003F1411">
        <w:rPr>
          <w:rFonts w:asciiTheme="minorHAnsi" w:hAnsiTheme="minorHAnsi" w:cstheme="minorHAnsi"/>
          <w:b/>
          <w:bCs/>
          <w:lang w:val="en-GB"/>
        </w:rPr>
        <w:t xml:space="preserve"> from </w:t>
      </w:r>
      <w:r w:rsidRPr="00D82658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the </w:t>
      </w:r>
      <w:r w:rsidR="003F1411" w:rsidRPr="00D82658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T4 terrace of the </w:t>
      </w:r>
      <w:r w:rsidR="00F753A3" w:rsidRPr="00D82658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Lower </w:t>
      </w:r>
      <w:proofErr w:type="spellStart"/>
      <w:r w:rsidRPr="00D82658">
        <w:rPr>
          <w:rFonts w:asciiTheme="minorHAnsi" w:hAnsiTheme="minorHAnsi" w:cstheme="minorHAnsi"/>
          <w:b/>
          <w:bCs/>
          <w:color w:val="000000" w:themeColor="text1"/>
          <w:lang w:val="en-GB"/>
        </w:rPr>
        <w:t>Tejo</w:t>
      </w:r>
      <w:proofErr w:type="spellEnd"/>
      <w:r w:rsidRPr="00D82658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 </w:t>
      </w:r>
      <w:r w:rsidR="00F365AD" w:rsidRPr="00D82658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River </w:t>
      </w:r>
      <w:r w:rsidRPr="00D82658">
        <w:rPr>
          <w:rFonts w:asciiTheme="minorHAnsi" w:hAnsiTheme="minorHAnsi" w:cstheme="minorHAnsi"/>
          <w:b/>
          <w:bCs/>
          <w:color w:val="000000" w:themeColor="text1"/>
          <w:lang w:val="en-GB"/>
        </w:rPr>
        <w:t>(</w:t>
      </w:r>
      <w:r w:rsidR="003F1411" w:rsidRPr="00D82658">
        <w:rPr>
          <w:rFonts w:asciiTheme="minorHAnsi" w:hAnsiTheme="minorHAnsi" w:cstheme="minorHAnsi"/>
          <w:b/>
          <w:bCs/>
          <w:color w:val="000000" w:themeColor="text1"/>
          <w:lang w:val="en-GB"/>
        </w:rPr>
        <w:t>western Iberia</w:t>
      </w:r>
      <w:r w:rsidR="00F753A3" w:rsidRPr="00D82658">
        <w:rPr>
          <w:rFonts w:asciiTheme="minorHAnsi" w:hAnsiTheme="minorHAnsi" w:cstheme="minorHAnsi"/>
          <w:b/>
          <w:bCs/>
          <w:color w:val="000000" w:themeColor="text1"/>
          <w:lang w:val="en-GB"/>
        </w:rPr>
        <w:t>)</w:t>
      </w:r>
    </w:p>
    <w:p w14:paraId="391BB5FA" w14:textId="4264E98B" w:rsidR="00933E18" w:rsidRPr="00933E18" w:rsidRDefault="00933E18" w:rsidP="00933E18">
      <w:pPr>
        <w:spacing w:after="80"/>
        <w:rPr>
          <w:rFonts w:asciiTheme="minorHAnsi" w:hAnsiTheme="minorHAnsi" w:cstheme="minorHAnsi"/>
          <w:sz w:val="20"/>
          <w:szCs w:val="20"/>
        </w:rPr>
      </w:pPr>
      <w:r w:rsidRPr="00933E18">
        <w:rPr>
          <w:rFonts w:asciiTheme="minorHAnsi" w:hAnsiTheme="minorHAnsi" w:cstheme="minorHAnsi"/>
          <w:sz w:val="20"/>
          <w:szCs w:val="20"/>
        </w:rPr>
        <w:t>Telmo Pereira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1,2,3</w:t>
      </w:r>
      <w:r w:rsidRPr="00933E18">
        <w:rPr>
          <w:rFonts w:asciiTheme="minorHAnsi" w:hAnsiTheme="minorHAnsi" w:cstheme="minorHAnsi"/>
          <w:sz w:val="20"/>
          <w:szCs w:val="20"/>
        </w:rPr>
        <w:t xml:space="preserve"> Pedro P. Cunha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933E18">
        <w:rPr>
          <w:rFonts w:asciiTheme="minorHAnsi" w:hAnsiTheme="minorHAnsi" w:cstheme="minorHAnsi"/>
          <w:sz w:val="20"/>
          <w:szCs w:val="20"/>
        </w:rPr>
        <w:t>, António Martins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Pr="00933E18">
        <w:rPr>
          <w:rFonts w:asciiTheme="minorHAnsi" w:hAnsiTheme="minorHAnsi" w:cstheme="minorHAnsi"/>
          <w:sz w:val="20"/>
          <w:szCs w:val="20"/>
        </w:rPr>
        <w:t>, Luís Raposo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6</w:t>
      </w:r>
      <w:r w:rsidRPr="00933E18">
        <w:rPr>
          <w:rFonts w:asciiTheme="minorHAnsi" w:hAnsiTheme="minorHAnsi" w:cstheme="minorHAnsi"/>
          <w:sz w:val="20"/>
          <w:szCs w:val="20"/>
        </w:rPr>
        <w:t>, Silvério Figueiredo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2,7</w:t>
      </w:r>
      <w:r w:rsidRPr="00933E18">
        <w:rPr>
          <w:rFonts w:asciiTheme="minorHAnsi" w:hAnsiTheme="minorHAnsi" w:cstheme="minorHAnsi"/>
          <w:sz w:val="20"/>
          <w:szCs w:val="20"/>
        </w:rPr>
        <w:t>, David Bridgland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8</w:t>
      </w:r>
      <w:r w:rsidRPr="00933E18">
        <w:rPr>
          <w:rFonts w:asciiTheme="minorHAnsi" w:hAnsiTheme="minorHAnsi" w:cstheme="minorHAnsi"/>
          <w:sz w:val="20"/>
          <w:szCs w:val="20"/>
        </w:rPr>
        <w:t>, João Caninas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9,10</w:t>
      </w:r>
      <w:r w:rsidRPr="00933E18">
        <w:rPr>
          <w:rFonts w:asciiTheme="minorHAnsi" w:hAnsiTheme="minorHAnsi" w:cstheme="minorHAnsi"/>
          <w:sz w:val="20"/>
          <w:szCs w:val="20"/>
        </w:rPr>
        <w:t>, Francisco Henriques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9,10</w:t>
      </w:r>
      <w:r w:rsidRPr="00933E18">
        <w:rPr>
          <w:rFonts w:asciiTheme="minorHAnsi" w:hAnsiTheme="minorHAnsi" w:cstheme="minorHAnsi"/>
          <w:sz w:val="20"/>
          <w:szCs w:val="20"/>
        </w:rPr>
        <w:t>, Mário Monteiro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9,10</w:t>
      </w:r>
      <w:r w:rsidRPr="00933E18">
        <w:rPr>
          <w:rFonts w:asciiTheme="minorHAnsi" w:hAnsiTheme="minorHAnsi" w:cstheme="minorHAnsi"/>
          <w:sz w:val="20"/>
          <w:szCs w:val="20"/>
        </w:rPr>
        <w:t>, Marina Évora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11,12</w:t>
      </w:r>
      <w:r w:rsidRPr="00933E18">
        <w:rPr>
          <w:rFonts w:asciiTheme="minorHAnsi" w:hAnsiTheme="minorHAnsi" w:cstheme="minorHAnsi"/>
          <w:sz w:val="20"/>
          <w:szCs w:val="20"/>
        </w:rPr>
        <w:t>, Vânia Pirata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1,13</w:t>
      </w:r>
      <w:r w:rsidRPr="00933E18">
        <w:rPr>
          <w:rFonts w:asciiTheme="minorHAnsi" w:hAnsiTheme="minorHAnsi" w:cstheme="minorHAnsi"/>
          <w:sz w:val="20"/>
          <w:szCs w:val="20"/>
        </w:rPr>
        <w:t>, José Pereira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13</w:t>
      </w:r>
      <w:r w:rsidRPr="00933E18">
        <w:rPr>
          <w:rFonts w:asciiTheme="minorHAnsi" w:hAnsiTheme="minorHAnsi" w:cstheme="minorHAnsi"/>
          <w:sz w:val="20"/>
          <w:szCs w:val="20"/>
        </w:rPr>
        <w:t>, Carlos Batata</w:t>
      </w:r>
      <w:r w:rsidRPr="00933E18">
        <w:rPr>
          <w:rFonts w:asciiTheme="minorHAnsi" w:hAnsiTheme="minorHAnsi" w:cstheme="minorHAnsi"/>
          <w:sz w:val="20"/>
          <w:szCs w:val="20"/>
          <w:vertAlign w:val="superscript"/>
        </w:rPr>
        <w:t>14</w:t>
      </w:r>
    </w:p>
    <w:p w14:paraId="303986CB" w14:textId="77777777" w:rsidR="00F753A3" w:rsidRPr="00933E18" w:rsidRDefault="00F753A3" w:rsidP="00B8041F">
      <w:pPr>
        <w:spacing w:after="80"/>
        <w:rPr>
          <w:rFonts w:asciiTheme="minorHAnsi" w:hAnsiTheme="minorHAnsi" w:cstheme="minorHAnsi"/>
          <w:b/>
          <w:bCs/>
          <w:sz w:val="20"/>
          <w:szCs w:val="20"/>
        </w:rPr>
      </w:pPr>
    </w:p>
    <w:p w14:paraId="6828CEAF" w14:textId="3E813884" w:rsidR="008F365B" w:rsidRPr="003F1411" w:rsidRDefault="0077564C" w:rsidP="008F365B">
      <w:pPr>
        <w:tabs>
          <w:tab w:val="left" w:pos="426"/>
        </w:tabs>
        <w:spacing w:after="80"/>
        <w:jc w:val="both"/>
        <w:rPr>
          <w:rFonts w:asciiTheme="minorHAnsi" w:hAnsiTheme="minorHAnsi" w:cstheme="minorHAnsi"/>
          <w:sz w:val="18"/>
          <w:szCs w:val="18"/>
        </w:rPr>
      </w:pPr>
      <w:r w:rsidRPr="003F1411">
        <w:rPr>
          <w:rFonts w:asciiTheme="minorHAnsi" w:hAnsiTheme="minorHAnsi" w:cstheme="minorHAnsi"/>
          <w:sz w:val="18"/>
          <w:szCs w:val="18"/>
        </w:rPr>
        <w:t xml:space="preserve">1) </w:t>
      </w:r>
      <w:r w:rsidR="008F365B" w:rsidRPr="003F1411">
        <w:rPr>
          <w:rFonts w:asciiTheme="minorHAnsi" w:hAnsiTheme="minorHAnsi" w:cstheme="minorHAnsi"/>
          <w:sz w:val="18"/>
          <w:szCs w:val="18"/>
        </w:rPr>
        <w:t xml:space="preserve">Universidade Autónoma de Lisboa. </w:t>
      </w:r>
      <w:r w:rsidR="00BA79AD">
        <w:rPr>
          <w:rFonts w:asciiTheme="minorHAnsi" w:hAnsiTheme="minorHAnsi" w:cstheme="minorHAnsi"/>
          <w:sz w:val="18"/>
          <w:szCs w:val="18"/>
        </w:rPr>
        <w:t xml:space="preserve">Centro de História Artes e Humanidades. </w:t>
      </w:r>
      <w:r w:rsidR="008F365B" w:rsidRPr="003F1411">
        <w:rPr>
          <w:rFonts w:asciiTheme="minorHAnsi" w:hAnsiTheme="minorHAnsi" w:cstheme="minorHAnsi"/>
          <w:sz w:val="18"/>
          <w:szCs w:val="18"/>
        </w:rPr>
        <w:t>Palácio dos Condes do Redondo, R. de Santa Marta 56, 1169-023 Lisboa. Portugal; telmojrpereira@gmail.com</w:t>
      </w:r>
    </w:p>
    <w:p w14:paraId="009DAF12" w14:textId="7E61F225" w:rsidR="00BA79AD" w:rsidRPr="00BA79AD" w:rsidRDefault="0077564C" w:rsidP="00BA79AD">
      <w:pPr>
        <w:tabs>
          <w:tab w:val="left" w:pos="426"/>
        </w:tabs>
        <w:spacing w:after="80"/>
        <w:jc w:val="both"/>
        <w:rPr>
          <w:rFonts w:asciiTheme="minorHAnsi" w:hAnsiTheme="minorHAnsi" w:cstheme="minorHAnsi"/>
          <w:sz w:val="18"/>
          <w:szCs w:val="18"/>
        </w:rPr>
      </w:pPr>
      <w:r w:rsidRPr="003F1411">
        <w:rPr>
          <w:rFonts w:asciiTheme="minorHAnsi" w:hAnsiTheme="minorHAnsi" w:cstheme="minorHAnsi"/>
          <w:sz w:val="18"/>
          <w:szCs w:val="18"/>
        </w:rPr>
        <w:t xml:space="preserve">2) </w:t>
      </w:r>
      <w:r w:rsidR="008F365B" w:rsidRPr="003F1411">
        <w:rPr>
          <w:rFonts w:asciiTheme="minorHAnsi" w:hAnsiTheme="minorHAnsi" w:cstheme="minorHAnsi"/>
          <w:sz w:val="18"/>
          <w:szCs w:val="18"/>
        </w:rPr>
        <w:t>Instituto Politécnico de Tomar</w:t>
      </w:r>
      <w:r w:rsidR="00BA79AD">
        <w:rPr>
          <w:rFonts w:asciiTheme="minorHAnsi" w:hAnsiTheme="minorHAnsi" w:cstheme="minorHAnsi"/>
          <w:sz w:val="18"/>
          <w:szCs w:val="18"/>
        </w:rPr>
        <w:t>, Centro de Geociências, Instituto Terra e Memória</w:t>
      </w:r>
      <w:r w:rsidR="008F365B" w:rsidRPr="003F1411">
        <w:rPr>
          <w:rFonts w:asciiTheme="minorHAnsi" w:hAnsiTheme="minorHAnsi" w:cstheme="minorHAnsi"/>
          <w:sz w:val="18"/>
          <w:szCs w:val="18"/>
        </w:rPr>
        <w:t xml:space="preserve">. Quinta do Contador. Estrada da Serra, 2300-313, Tomar. </w:t>
      </w:r>
      <w:r w:rsidR="008F365B" w:rsidRPr="006746DA">
        <w:rPr>
          <w:rFonts w:asciiTheme="minorHAnsi" w:hAnsiTheme="minorHAnsi" w:cstheme="minorHAnsi"/>
          <w:sz w:val="18"/>
          <w:szCs w:val="18"/>
        </w:rPr>
        <w:t>Portugal</w:t>
      </w:r>
    </w:p>
    <w:p w14:paraId="35787B58" w14:textId="0E937F9D" w:rsidR="00BA79AD" w:rsidRPr="003F1411" w:rsidRDefault="00BA79AD" w:rsidP="00BA79AD">
      <w:pPr>
        <w:tabs>
          <w:tab w:val="left" w:pos="426"/>
        </w:tabs>
        <w:spacing w:after="8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3) </w:t>
      </w:r>
      <w:r w:rsidRPr="00BA79AD">
        <w:rPr>
          <w:rFonts w:asciiTheme="minorHAnsi" w:hAnsiTheme="minorHAnsi" w:cstheme="minorHAnsi"/>
          <w:sz w:val="18"/>
          <w:szCs w:val="18"/>
        </w:rPr>
        <w:t>UNIARQ, Centro de Arqueologia da Universidade de Lisboa. Faculdade de Letras, Universidade de Lisboa, Alameda da Universidade, 1600-214, Lisboa</w:t>
      </w:r>
    </w:p>
    <w:p w14:paraId="36E07A31" w14:textId="4B935B6A" w:rsidR="00F753A3" w:rsidRPr="005F11D9" w:rsidRDefault="00BA79AD" w:rsidP="00B8041F">
      <w:pPr>
        <w:tabs>
          <w:tab w:val="left" w:pos="426"/>
        </w:tabs>
        <w:spacing w:after="8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4</w:t>
      </w:r>
      <w:r w:rsidR="00F753A3" w:rsidRPr="004B1683">
        <w:rPr>
          <w:rFonts w:asciiTheme="minorHAnsi" w:hAnsiTheme="minorHAnsi" w:cstheme="minorHAnsi"/>
          <w:sz w:val="18"/>
          <w:szCs w:val="18"/>
          <w:lang w:val="en-US"/>
        </w:rPr>
        <w:t xml:space="preserve">) MARE- Marine and Environmental Sciences Centre; Department of Earth Sciences, University of Coimbra, </w:t>
      </w:r>
      <w:proofErr w:type="spellStart"/>
      <w:r w:rsidR="00F753A3" w:rsidRPr="004B1683">
        <w:rPr>
          <w:rFonts w:asciiTheme="minorHAnsi" w:hAnsiTheme="minorHAnsi" w:cstheme="minorHAnsi"/>
          <w:sz w:val="18"/>
          <w:szCs w:val="18"/>
          <w:lang w:val="en-US"/>
        </w:rPr>
        <w:t>Rua</w:t>
      </w:r>
      <w:proofErr w:type="spellEnd"/>
      <w:r w:rsidR="00F753A3" w:rsidRPr="004B168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F753A3" w:rsidRPr="004B1683">
        <w:rPr>
          <w:rFonts w:asciiTheme="minorHAnsi" w:hAnsiTheme="minorHAnsi" w:cstheme="minorHAnsi"/>
          <w:sz w:val="18"/>
          <w:szCs w:val="18"/>
          <w:lang w:val="en-US"/>
        </w:rPr>
        <w:t>Sílvio</w:t>
      </w:r>
      <w:proofErr w:type="spellEnd"/>
      <w:r w:rsidR="00F753A3" w:rsidRPr="004B1683">
        <w:rPr>
          <w:rFonts w:asciiTheme="minorHAnsi" w:hAnsiTheme="minorHAnsi" w:cstheme="minorHAnsi"/>
          <w:sz w:val="18"/>
          <w:szCs w:val="18"/>
          <w:lang w:val="en-US"/>
        </w:rPr>
        <w:t xml:space="preserve"> Lima, Univ. </w:t>
      </w:r>
      <w:r w:rsidR="00F753A3" w:rsidRPr="005F11D9">
        <w:rPr>
          <w:rFonts w:asciiTheme="minorHAnsi" w:hAnsiTheme="minorHAnsi" w:cstheme="minorHAnsi"/>
          <w:sz w:val="18"/>
          <w:szCs w:val="18"/>
          <w:lang w:val="en-US"/>
        </w:rPr>
        <w:t>Coimbra - Pólo II, 3030-790 Coimbra, Portugal</w:t>
      </w:r>
      <w:r w:rsidR="00D2080A" w:rsidRPr="005F11D9">
        <w:rPr>
          <w:rFonts w:asciiTheme="minorHAnsi" w:hAnsiTheme="minorHAnsi" w:cstheme="minorHAnsi"/>
          <w:sz w:val="18"/>
          <w:szCs w:val="18"/>
          <w:lang w:val="en-US"/>
        </w:rPr>
        <w:t>; pcunha@dct.uc.pt</w:t>
      </w:r>
    </w:p>
    <w:p w14:paraId="47357AB3" w14:textId="6F26BFE1" w:rsidR="0077564C" w:rsidRPr="005F11D9" w:rsidRDefault="00BA79AD" w:rsidP="00B8041F">
      <w:pPr>
        <w:tabs>
          <w:tab w:val="left" w:pos="426"/>
        </w:tabs>
        <w:spacing w:after="8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5F11D9">
        <w:rPr>
          <w:rFonts w:asciiTheme="minorHAnsi" w:hAnsiTheme="minorHAnsi" w:cstheme="minorHAnsi"/>
          <w:sz w:val="18"/>
          <w:szCs w:val="18"/>
          <w:lang w:val="en-US"/>
        </w:rPr>
        <w:t>5</w:t>
      </w:r>
      <w:r w:rsidR="0077564C" w:rsidRPr="005F11D9">
        <w:rPr>
          <w:rFonts w:asciiTheme="minorHAnsi" w:hAnsiTheme="minorHAnsi" w:cstheme="minorHAnsi"/>
          <w:sz w:val="18"/>
          <w:szCs w:val="18"/>
          <w:lang w:val="en-US"/>
        </w:rPr>
        <w:t xml:space="preserve">) ICT – Institute of Earth Sciences; Department of Geosciences, University of Évora, Rua Romão Ramalho, 59, 7000-671 Évora, </w:t>
      </w:r>
      <w:r w:rsidR="00D2080A" w:rsidRPr="005F11D9">
        <w:rPr>
          <w:rFonts w:asciiTheme="minorHAnsi" w:hAnsiTheme="minorHAnsi" w:cstheme="minorHAnsi"/>
          <w:sz w:val="18"/>
          <w:szCs w:val="18"/>
          <w:lang w:val="en-US"/>
        </w:rPr>
        <w:t>Portugal; aam@uevora.pt</w:t>
      </w:r>
    </w:p>
    <w:p w14:paraId="49BDCF51" w14:textId="3C9C1ACB" w:rsidR="004B1683" w:rsidRPr="003F1411" w:rsidRDefault="00BA79AD" w:rsidP="004B1683">
      <w:pPr>
        <w:spacing w:after="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</w:t>
      </w:r>
      <w:r w:rsidR="004B1683" w:rsidRPr="003F1411">
        <w:rPr>
          <w:rFonts w:asciiTheme="minorHAnsi" w:hAnsiTheme="minorHAnsi" w:cstheme="minorHAnsi"/>
          <w:sz w:val="18"/>
          <w:szCs w:val="18"/>
        </w:rPr>
        <w:t>) Museu Nacional de Arqueologia. Praça do Império, 1400-026 Lisboa, Portugal; 3raposos@sapo.pt</w:t>
      </w:r>
    </w:p>
    <w:p w14:paraId="489C6383" w14:textId="667ED159" w:rsidR="004B1683" w:rsidRPr="004B1683" w:rsidRDefault="00933E18" w:rsidP="004B1683">
      <w:pPr>
        <w:spacing w:after="80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</w:rPr>
        <w:t>7</w:t>
      </w:r>
      <w:r w:rsidR="004B1683" w:rsidRPr="003F1411">
        <w:rPr>
          <w:rFonts w:asciiTheme="minorHAnsi" w:hAnsiTheme="minorHAnsi" w:cstheme="minorHAnsi"/>
          <w:sz w:val="18"/>
          <w:szCs w:val="18"/>
        </w:rPr>
        <w:t>) Centro de Português de Geo</w:t>
      </w:r>
      <w:r w:rsidR="00541190">
        <w:rPr>
          <w:rFonts w:asciiTheme="minorHAnsi" w:hAnsiTheme="minorHAnsi" w:cstheme="minorHAnsi"/>
          <w:sz w:val="18"/>
          <w:szCs w:val="18"/>
        </w:rPr>
        <w:t>-</w:t>
      </w:r>
      <w:r w:rsidR="004B1683" w:rsidRPr="003F1411">
        <w:rPr>
          <w:rFonts w:asciiTheme="minorHAnsi" w:hAnsiTheme="minorHAnsi" w:cstheme="minorHAnsi"/>
          <w:sz w:val="18"/>
          <w:szCs w:val="18"/>
        </w:rPr>
        <w:t xml:space="preserve">história e Pré-história. </w:t>
      </w:r>
      <w:r w:rsidR="004B1683" w:rsidRPr="003F1411">
        <w:rPr>
          <w:rFonts w:asciiTheme="minorHAnsi" w:eastAsiaTheme="minorHAnsi" w:hAnsiTheme="minorHAnsi" w:cstheme="minorHAnsi"/>
          <w:sz w:val="18"/>
          <w:szCs w:val="18"/>
          <w:lang w:eastAsia="en-US"/>
        </w:rPr>
        <w:t>Núcleo Museológico do CPGP Antiga Escola Primária, Largo de São Caetano, 2150-265 Golegã</w:t>
      </w:r>
      <w:r w:rsidR="004B1683" w:rsidRPr="003F1411">
        <w:rPr>
          <w:rFonts w:asciiTheme="minorHAnsi" w:hAnsiTheme="minorHAnsi" w:cstheme="minorHAnsi"/>
          <w:sz w:val="18"/>
          <w:szCs w:val="18"/>
        </w:rPr>
        <w:t xml:space="preserve">. </w:t>
      </w:r>
      <w:r w:rsidR="004B1683" w:rsidRPr="004B1683">
        <w:rPr>
          <w:rFonts w:asciiTheme="minorHAnsi" w:hAnsiTheme="minorHAnsi" w:cstheme="minorHAnsi"/>
          <w:sz w:val="18"/>
          <w:szCs w:val="18"/>
          <w:lang w:val="en-US"/>
        </w:rPr>
        <w:t>Portugal; silverio.figueiredo@ipt.pt</w:t>
      </w:r>
    </w:p>
    <w:p w14:paraId="4473B03D" w14:textId="1E8EAD30" w:rsidR="00F753A3" w:rsidRPr="003F1411" w:rsidRDefault="00933E18" w:rsidP="00B8041F">
      <w:pPr>
        <w:tabs>
          <w:tab w:val="left" w:pos="426"/>
        </w:tabs>
        <w:spacing w:after="80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  <w:lang w:val="en-GB"/>
        </w:rPr>
        <w:t>8</w:t>
      </w:r>
      <w:r w:rsidR="00D2080A" w:rsidRPr="003F1411">
        <w:rPr>
          <w:rFonts w:asciiTheme="minorHAnsi" w:hAnsiTheme="minorHAnsi" w:cstheme="minorHAnsi"/>
          <w:sz w:val="18"/>
          <w:szCs w:val="18"/>
          <w:lang w:val="en-GB"/>
        </w:rPr>
        <w:t>) Department of Geography, Durham University, South Road, Durham DH1 3LE, UK; d.r.bridgland@durham.ac.uk</w:t>
      </w:r>
    </w:p>
    <w:p w14:paraId="2AD166B6" w14:textId="6296D3CA" w:rsidR="00C11CF3" w:rsidRPr="003F1411" w:rsidRDefault="00933E18" w:rsidP="00B8041F">
      <w:pPr>
        <w:spacing w:after="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</w:t>
      </w:r>
      <w:r w:rsidR="00C11CF3" w:rsidRPr="003F1411">
        <w:rPr>
          <w:rFonts w:asciiTheme="minorHAnsi" w:hAnsiTheme="minorHAnsi" w:cstheme="minorHAnsi"/>
          <w:sz w:val="18"/>
          <w:szCs w:val="18"/>
        </w:rPr>
        <w:t>) EMERITA, Empresa Portuguesa de Arqueologia, Uni. Lda. Apartado 32 – BEC Oeiras, 2781-901 Oeiras, Portugal.</w:t>
      </w:r>
    </w:p>
    <w:p w14:paraId="3E5E251D" w14:textId="4F47E5EA" w:rsidR="00F753A3" w:rsidRPr="003F1411" w:rsidRDefault="00933E18" w:rsidP="00B8041F">
      <w:pPr>
        <w:spacing w:after="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C11CF3" w:rsidRPr="003F1411">
        <w:rPr>
          <w:rFonts w:asciiTheme="minorHAnsi" w:hAnsiTheme="minorHAnsi" w:cstheme="minorHAnsi"/>
          <w:sz w:val="18"/>
          <w:szCs w:val="18"/>
        </w:rPr>
        <w:t>) Associação de Estudos do Alto Tejo. Rua de Santana, R/c do Edifício da Segurança Social, 6030-230 Vila Velha de Ródão, Portugal</w:t>
      </w:r>
      <w:r w:rsidR="00B8041F" w:rsidRPr="003F1411">
        <w:rPr>
          <w:rFonts w:asciiTheme="minorHAnsi" w:hAnsiTheme="minorHAnsi" w:cstheme="minorHAnsi"/>
          <w:sz w:val="18"/>
          <w:szCs w:val="18"/>
        </w:rPr>
        <w:t>; emerita.portugal@gmail.com</w:t>
      </w:r>
    </w:p>
    <w:p w14:paraId="79C1879F" w14:textId="144C33AD" w:rsidR="004B1683" w:rsidRPr="004B1683" w:rsidRDefault="00933E18" w:rsidP="004B1683">
      <w:pPr>
        <w:spacing w:after="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11</w:t>
      </w:r>
      <w:r w:rsidR="004B1683">
        <w:rPr>
          <w:rFonts w:asciiTheme="minorHAnsi" w:hAnsiTheme="minorHAnsi" w:cstheme="minorHAnsi"/>
          <w:sz w:val="18"/>
          <w:szCs w:val="18"/>
        </w:rPr>
        <w:t xml:space="preserve">) </w:t>
      </w:r>
      <w:r w:rsidR="004B1683" w:rsidRPr="004B1683">
        <w:rPr>
          <w:rFonts w:asciiTheme="minorHAnsi" w:hAnsiTheme="minorHAnsi" w:cstheme="minorHAnsi"/>
          <w:sz w:val="18"/>
          <w:szCs w:val="18"/>
        </w:rPr>
        <w:t>Departamento de Ciências Sociais e de Gestão, Universidade Aberta, Rua Almirante Barroso, 38 - 3º, 1000-013 Lisboa;</w:t>
      </w:r>
    </w:p>
    <w:p w14:paraId="2057409A" w14:textId="107CD441" w:rsidR="004B1683" w:rsidRDefault="004B1683" w:rsidP="004B1683">
      <w:pPr>
        <w:spacing w:after="80"/>
        <w:rPr>
          <w:rFonts w:asciiTheme="minorHAnsi" w:hAnsiTheme="minorHAnsi" w:cstheme="minorHAnsi"/>
          <w:sz w:val="18"/>
          <w:szCs w:val="18"/>
        </w:rPr>
      </w:pPr>
      <w:r w:rsidRPr="004B1683">
        <w:rPr>
          <w:rFonts w:asciiTheme="minorHAnsi" w:hAnsiTheme="minorHAnsi" w:cstheme="minorHAnsi"/>
          <w:sz w:val="18"/>
          <w:szCs w:val="18"/>
        </w:rPr>
        <w:t>gloria.evora@uab.pt</w:t>
      </w:r>
    </w:p>
    <w:p w14:paraId="7A16EF81" w14:textId="4A673C61" w:rsidR="00C11CF3" w:rsidRPr="003F1411" w:rsidRDefault="00933E18" w:rsidP="00B8041F">
      <w:pPr>
        <w:spacing w:after="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12</w:t>
      </w:r>
      <w:r w:rsidR="00C11CF3" w:rsidRPr="003F1411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="00C11CF3" w:rsidRPr="003F1411">
        <w:rPr>
          <w:rFonts w:asciiTheme="minorHAnsi" w:hAnsiTheme="minorHAnsi" w:cstheme="minorHAnsi"/>
          <w:sz w:val="18"/>
          <w:szCs w:val="18"/>
        </w:rPr>
        <w:t>ICArEHB</w:t>
      </w:r>
      <w:proofErr w:type="spellEnd"/>
      <w:r w:rsidR="00C11CF3" w:rsidRPr="003F1411">
        <w:rPr>
          <w:rFonts w:asciiTheme="minorHAnsi" w:hAnsiTheme="minorHAnsi" w:cstheme="minorHAnsi"/>
          <w:sz w:val="18"/>
          <w:szCs w:val="18"/>
        </w:rPr>
        <w:t xml:space="preserve"> - Faculdade de Ciências Humanas e Sociais, Campus Gambelas, Universidade do Algarve, 8005-139 Faro. Portugal</w:t>
      </w:r>
      <w:r w:rsidR="00B8041F" w:rsidRPr="003F1411">
        <w:rPr>
          <w:rFonts w:asciiTheme="minorHAnsi" w:hAnsiTheme="minorHAnsi" w:cstheme="minorHAnsi"/>
          <w:sz w:val="18"/>
          <w:szCs w:val="18"/>
        </w:rPr>
        <w:t>; marevora@gmail.com</w:t>
      </w:r>
    </w:p>
    <w:p w14:paraId="5BFDFBA6" w14:textId="7584287B" w:rsidR="00F753A3" w:rsidRPr="003F1411" w:rsidRDefault="00C11CF3" w:rsidP="00B8041F">
      <w:pPr>
        <w:spacing w:after="80"/>
        <w:rPr>
          <w:rFonts w:asciiTheme="minorHAnsi" w:hAnsiTheme="minorHAnsi" w:cstheme="minorHAnsi"/>
          <w:sz w:val="18"/>
          <w:szCs w:val="18"/>
        </w:rPr>
      </w:pPr>
      <w:r w:rsidRPr="003F1411">
        <w:rPr>
          <w:rFonts w:asciiTheme="minorHAnsi" w:hAnsiTheme="minorHAnsi" w:cstheme="minorHAnsi"/>
          <w:sz w:val="18"/>
          <w:szCs w:val="18"/>
        </w:rPr>
        <w:t>1</w:t>
      </w:r>
      <w:r w:rsidR="00933E18">
        <w:rPr>
          <w:rFonts w:asciiTheme="minorHAnsi" w:hAnsiTheme="minorHAnsi" w:cstheme="minorHAnsi"/>
          <w:sz w:val="18"/>
          <w:szCs w:val="18"/>
        </w:rPr>
        <w:t>3</w:t>
      </w:r>
      <w:r w:rsidRPr="003F1411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3F1411">
        <w:rPr>
          <w:rFonts w:asciiTheme="minorHAnsi" w:hAnsiTheme="minorHAnsi" w:cstheme="minorHAnsi"/>
          <w:sz w:val="18"/>
          <w:szCs w:val="18"/>
        </w:rPr>
        <w:t>Novarqueologia</w:t>
      </w:r>
      <w:proofErr w:type="spellEnd"/>
      <w:r w:rsidRPr="003F1411">
        <w:rPr>
          <w:rFonts w:asciiTheme="minorHAnsi" w:hAnsiTheme="minorHAnsi" w:cstheme="minorHAnsi"/>
          <w:sz w:val="18"/>
          <w:szCs w:val="18"/>
        </w:rPr>
        <w:t>, Lda. Rua Luís de Camões 63, 2380-085, Alcanena. Portugal</w:t>
      </w:r>
      <w:r w:rsidR="00B8041F" w:rsidRPr="003F1411">
        <w:rPr>
          <w:rFonts w:asciiTheme="minorHAnsi" w:hAnsiTheme="minorHAnsi" w:cstheme="minorHAnsi"/>
          <w:sz w:val="18"/>
          <w:szCs w:val="18"/>
        </w:rPr>
        <w:t>; vaniapirata@gmail.com</w:t>
      </w:r>
    </w:p>
    <w:p w14:paraId="2D4B92C7" w14:textId="6A11EF51" w:rsidR="00F753A3" w:rsidRDefault="00C11CF3" w:rsidP="00B8041F">
      <w:pPr>
        <w:spacing w:after="80"/>
        <w:rPr>
          <w:rFonts w:asciiTheme="minorHAnsi" w:hAnsiTheme="minorHAnsi" w:cstheme="minorHAnsi"/>
          <w:sz w:val="20"/>
          <w:szCs w:val="20"/>
          <w:lang w:val="en-GB"/>
        </w:rPr>
      </w:pPr>
      <w:r w:rsidRPr="003F1411">
        <w:rPr>
          <w:rFonts w:asciiTheme="minorHAnsi" w:hAnsiTheme="minorHAnsi" w:cstheme="minorHAnsi"/>
          <w:sz w:val="18"/>
          <w:szCs w:val="18"/>
        </w:rPr>
        <w:t>1</w:t>
      </w:r>
      <w:r w:rsidR="00933E18">
        <w:rPr>
          <w:rFonts w:asciiTheme="minorHAnsi" w:hAnsiTheme="minorHAnsi" w:cstheme="minorHAnsi"/>
          <w:sz w:val="18"/>
          <w:szCs w:val="18"/>
        </w:rPr>
        <w:t>4</w:t>
      </w:r>
      <w:r w:rsidRPr="003F1411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="0051473A" w:rsidRPr="0051473A">
        <w:rPr>
          <w:rFonts w:asciiTheme="minorHAnsi" w:hAnsiTheme="minorHAnsi" w:cstheme="minorHAnsi"/>
          <w:sz w:val="18"/>
          <w:szCs w:val="18"/>
        </w:rPr>
        <w:t>Cornucopiariver</w:t>
      </w:r>
      <w:proofErr w:type="spellEnd"/>
      <w:r w:rsidR="0051473A" w:rsidRPr="0051473A">
        <w:rPr>
          <w:rFonts w:asciiTheme="minorHAnsi" w:hAnsiTheme="minorHAnsi" w:cstheme="minorHAnsi"/>
          <w:sz w:val="18"/>
          <w:szCs w:val="18"/>
        </w:rPr>
        <w:t xml:space="preserve"> - Arqueologia, Lda</w:t>
      </w:r>
      <w:r w:rsidR="0051473A" w:rsidRPr="003F1411">
        <w:rPr>
          <w:rFonts w:asciiTheme="minorHAnsi" w:hAnsiTheme="minorHAnsi" w:cstheme="minorHAnsi"/>
          <w:sz w:val="18"/>
          <w:szCs w:val="18"/>
        </w:rPr>
        <w:t xml:space="preserve">. </w:t>
      </w:r>
      <w:r w:rsidR="0051473A" w:rsidRPr="0051473A">
        <w:rPr>
          <w:rFonts w:asciiTheme="minorHAnsi" w:hAnsiTheme="minorHAnsi" w:cstheme="minorHAnsi"/>
          <w:sz w:val="18"/>
          <w:szCs w:val="18"/>
        </w:rPr>
        <w:t>Lugar Caniçal, Nº 53 2305-403 Tomar</w:t>
      </w:r>
      <w:r w:rsidR="0051473A">
        <w:rPr>
          <w:rFonts w:asciiTheme="minorHAnsi" w:hAnsiTheme="minorHAnsi" w:cstheme="minorHAnsi"/>
          <w:sz w:val="18"/>
          <w:szCs w:val="18"/>
        </w:rPr>
        <w:t>.</w:t>
      </w:r>
      <w:r w:rsidR="0051473A" w:rsidRPr="0051473A">
        <w:rPr>
          <w:rFonts w:asciiTheme="minorHAnsi" w:hAnsiTheme="minorHAnsi" w:cstheme="minorHAnsi"/>
          <w:sz w:val="18"/>
          <w:szCs w:val="18"/>
        </w:rPr>
        <w:t xml:space="preserve"> </w:t>
      </w:r>
      <w:r w:rsidR="0051473A" w:rsidRPr="007F4D2A">
        <w:rPr>
          <w:rFonts w:asciiTheme="minorHAnsi" w:hAnsiTheme="minorHAnsi" w:cstheme="minorHAnsi"/>
          <w:sz w:val="18"/>
          <w:szCs w:val="18"/>
          <w:lang w:val="en-US"/>
        </w:rPr>
        <w:t>Portugal; cornucopia.river@hotmail.com</w:t>
      </w:r>
    </w:p>
    <w:p w14:paraId="5BB14191" w14:textId="77777777" w:rsidR="00933E18" w:rsidRPr="007F4D2A" w:rsidRDefault="00933E18" w:rsidP="00B8041F">
      <w:pPr>
        <w:spacing w:after="80"/>
        <w:rPr>
          <w:rFonts w:asciiTheme="minorHAnsi" w:hAnsiTheme="minorHAnsi" w:cstheme="minorHAnsi"/>
          <w:sz w:val="20"/>
          <w:szCs w:val="20"/>
          <w:lang w:val="en-US"/>
        </w:rPr>
      </w:pPr>
    </w:p>
    <w:p w14:paraId="474AAA25" w14:textId="77777777" w:rsidR="00B8041F" w:rsidRPr="003F1411" w:rsidRDefault="00B8041F" w:rsidP="003F1411">
      <w:pPr>
        <w:spacing w:after="80" w:line="36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F1411">
        <w:rPr>
          <w:rFonts w:asciiTheme="minorHAnsi" w:hAnsiTheme="minorHAnsi" w:cstheme="minorHAnsi"/>
          <w:b/>
          <w:bCs/>
          <w:sz w:val="22"/>
          <w:szCs w:val="22"/>
          <w:lang w:val="en-GB"/>
        </w:rPr>
        <w:t>Abstract:</w:t>
      </w:r>
    </w:p>
    <w:p w14:paraId="166E1CB8" w14:textId="2F243D88" w:rsidR="00F753A3" w:rsidRPr="003F1411" w:rsidRDefault="00F365AD" w:rsidP="0051473A">
      <w:pPr>
        <w:spacing w:after="80"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Since the 19th Century, </w:t>
      </w:r>
      <w:r w:rsidRPr="00CC75D4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3F1411" w:rsidRPr="00CC75D4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sedimentary terraces </w:t>
      </w:r>
      <w:r w:rsidR="00665252" w:rsidRPr="00CC75D4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of</w:t>
      </w:r>
      <w:r w:rsidR="00665252" w:rsidRPr="00CC75D4">
        <w:rPr>
          <w:rFonts w:asciiTheme="minorHAnsi" w:hAnsiTheme="minorHAnsi" w:cstheme="minorHAnsi"/>
          <w:sz w:val="22"/>
          <w:szCs w:val="22"/>
          <w:lang w:val="en-GB"/>
        </w:rPr>
        <w:t xml:space="preserve"> Lower </w:t>
      </w:r>
      <w:proofErr w:type="spellStart"/>
      <w:r w:rsidR="00665252" w:rsidRPr="00CC75D4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Tejo</w:t>
      </w:r>
      <w:proofErr w:type="spellEnd"/>
      <w:r w:rsidR="00665252" w:rsidRPr="00CC75D4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="0066525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River </w:t>
      </w:r>
      <w:r w:rsidR="003F1411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have</w:t>
      </w:r>
      <w:r w:rsidR="00936EF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been recognized 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>as</w:t>
      </w:r>
      <w:r w:rsidR="00CC75D4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one of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the best archive</w:t>
      </w:r>
      <w:r w:rsidR="00CC75D4" w:rsidRPr="004B1683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for the Low</w:t>
      </w:r>
      <w:r w:rsidR="00936EF9"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er and Middle Palaeolithic </w:t>
      </w:r>
      <w:r w:rsidRPr="003F1411">
        <w:rPr>
          <w:rFonts w:asciiTheme="minorHAnsi" w:hAnsiTheme="minorHAnsi" w:cstheme="minorHAnsi"/>
          <w:sz w:val="22"/>
          <w:szCs w:val="22"/>
          <w:lang w:val="en-GB"/>
        </w:rPr>
        <w:t>industries</w:t>
      </w:r>
      <w:r w:rsidR="00936EF9"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 of western Iberia. In the 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>1940s</w:t>
      </w:r>
      <w:r w:rsidR="00F768EF" w:rsidRPr="004B1683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evidence </w:t>
      </w:r>
      <w:r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for </w:t>
      </w:r>
      <w:r w:rsidR="00CC75D4" w:rsidRPr="004B1683">
        <w:rPr>
          <w:rFonts w:asciiTheme="minorHAnsi" w:hAnsiTheme="minorHAnsi" w:cstheme="minorHAnsi"/>
          <w:sz w:val="22"/>
          <w:szCs w:val="22"/>
          <w:lang w:val="en-GB"/>
        </w:rPr>
        <w:t>archaic</w:t>
      </w:r>
      <w:r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human occupation</w:t>
      </w:r>
      <w:r w:rsidR="00CC75D4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w</w:t>
      </w:r>
      <w:r w:rsidR="00B554B8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as </w:t>
      </w:r>
      <w:r w:rsidR="00CC75D4" w:rsidRPr="004B1683">
        <w:rPr>
          <w:rFonts w:asciiTheme="minorHAnsi" w:hAnsiTheme="minorHAnsi" w:cstheme="minorHAnsi"/>
          <w:sz w:val="22"/>
          <w:szCs w:val="22"/>
          <w:lang w:val="en-GB"/>
        </w:rPr>
        <w:t>related to</w:t>
      </w:r>
      <w:r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the Q3 and Q4 terrace levels</w:t>
      </w:r>
      <w:r w:rsidR="007F4D2A">
        <w:rPr>
          <w:rFonts w:asciiTheme="minorHAnsi" w:hAnsiTheme="minorHAnsi" w:cstheme="minorHAnsi"/>
          <w:sz w:val="22"/>
          <w:szCs w:val="22"/>
          <w:lang w:val="en-GB"/>
        </w:rPr>
        <w:t>, defined by the Geological Services team</w:t>
      </w:r>
      <w:r w:rsidRPr="004B1683">
        <w:rPr>
          <w:rFonts w:asciiTheme="minorHAnsi" w:hAnsiTheme="minorHAnsi" w:cstheme="minorHAnsi"/>
          <w:sz w:val="22"/>
          <w:szCs w:val="22"/>
          <w:lang w:val="en-GB"/>
        </w:rPr>
        <w:t>. Since 2008</w:t>
      </w:r>
      <w:r w:rsidR="00A20317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B36F9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a maximum of six </w:t>
      </w:r>
      <w:r w:rsidR="00F768EF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sedimentary </w:t>
      </w:r>
      <w:r w:rsidR="00B36F9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terrace levels (T1 to T6, from </w:t>
      </w:r>
      <w:r w:rsidR="00B554B8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older to </w:t>
      </w:r>
      <w:r w:rsidR="00B36F9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younger) </w:t>
      </w:r>
      <w:r w:rsidR="008F365B" w:rsidRPr="004B1683">
        <w:rPr>
          <w:rFonts w:asciiTheme="minorHAnsi" w:hAnsiTheme="minorHAnsi" w:cstheme="minorHAnsi"/>
          <w:sz w:val="22"/>
          <w:szCs w:val="22"/>
          <w:lang w:val="en-GB"/>
        </w:rPr>
        <w:t>were</w:t>
      </w:r>
      <w:r w:rsidR="00665252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36F99" w:rsidRPr="004B1683">
        <w:rPr>
          <w:rFonts w:asciiTheme="minorHAnsi" w:hAnsiTheme="minorHAnsi" w:cstheme="minorHAnsi"/>
          <w:sz w:val="22"/>
          <w:szCs w:val="22"/>
          <w:lang w:val="en-GB"/>
        </w:rPr>
        <w:t>identified</w:t>
      </w:r>
      <w:r w:rsidR="00A20317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665252" w:rsidRPr="004B1683">
        <w:rPr>
          <w:rFonts w:asciiTheme="minorHAnsi" w:hAnsiTheme="minorHAnsi" w:cstheme="minorHAnsi"/>
          <w:sz w:val="22"/>
          <w:szCs w:val="22"/>
          <w:lang w:val="en-GB"/>
        </w:rPr>
        <w:t>incised</w:t>
      </w:r>
      <w:r w:rsidR="00B36F9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20317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below a culminant </w:t>
      </w:r>
      <w:r w:rsidR="00665252" w:rsidRPr="004B1683">
        <w:rPr>
          <w:rFonts w:asciiTheme="minorHAnsi" w:hAnsiTheme="minorHAnsi" w:cstheme="minorHAnsi"/>
          <w:sz w:val="22"/>
          <w:szCs w:val="22"/>
          <w:lang w:val="en-GB"/>
        </w:rPr>
        <w:t>basin-fill</w:t>
      </w:r>
      <w:r w:rsidR="00A20317"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 unit (corresponding to the ancestral </w:t>
      </w:r>
      <w:proofErr w:type="spellStart"/>
      <w:r w:rsidR="00A20317" w:rsidRPr="003F1411">
        <w:rPr>
          <w:rFonts w:asciiTheme="minorHAnsi" w:hAnsiTheme="minorHAnsi" w:cstheme="minorHAnsi"/>
          <w:sz w:val="22"/>
          <w:szCs w:val="22"/>
          <w:lang w:val="en-GB"/>
        </w:rPr>
        <w:t>Tejo</w:t>
      </w:r>
      <w:proofErr w:type="spellEnd"/>
      <w:r w:rsidR="00A20317"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 River befor</w:t>
      </w:r>
      <w:r w:rsidR="00B36F99" w:rsidRPr="003F1411">
        <w:rPr>
          <w:rFonts w:asciiTheme="minorHAnsi" w:hAnsiTheme="minorHAnsi" w:cstheme="minorHAnsi"/>
          <w:sz w:val="22"/>
          <w:szCs w:val="22"/>
          <w:lang w:val="en-GB"/>
        </w:rPr>
        <w:t>e drainage network entrenchment) and above the modern alluvial plain:</w:t>
      </w:r>
      <w:r w:rsidR="008F62EE"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36F99" w:rsidRPr="003F1411">
        <w:rPr>
          <w:rFonts w:asciiTheme="minorHAnsi" w:hAnsiTheme="minorHAnsi" w:cstheme="minorHAnsi"/>
          <w:sz w:val="22"/>
          <w:szCs w:val="22"/>
          <w:lang w:val="en-GB"/>
        </w:rPr>
        <w:t>T1,</w:t>
      </w:r>
      <w:r w:rsidR="00A20317"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 at </w:t>
      </w:r>
      <w:r w:rsidR="00B36F99" w:rsidRPr="003F1411">
        <w:rPr>
          <w:rFonts w:asciiTheme="minorHAnsi" w:hAnsiTheme="minorHAnsi" w:cstheme="minorHAnsi"/>
          <w:sz w:val="22"/>
          <w:szCs w:val="22"/>
          <w:lang w:val="en-GB"/>
        </w:rPr>
        <w:t>+111 m; T2, +83 m; T3, +61 m;</w:t>
      </w:r>
      <w:r w:rsidR="00A20317"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 T4, at +34 m, with Acheulean in the basal and middle levels and Mouster</w:t>
      </w:r>
      <w:r w:rsidR="00B36F99" w:rsidRPr="003F1411">
        <w:rPr>
          <w:rFonts w:asciiTheme="minorHAnsi" w:hAnsiTheme="minorHAnsi" w:cstheme="minorHAnsi"/>
          <w:sz w:val="22"/>
          <w:szCs w:val="22"/>
          <w:lang w:val="en-GB"/>
        </w:rPr>
        <w:t>ian in the uppermost levels;</w:t>
      </w:r>
      <w:r w:rsidR="00A20317"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 T5, +18 m, with </w:t>
      </w:r>
      <w:r w:rsidR="00A20317" w:rsidRPr="004B1683">
        <w:rPr>
          <w:rFonts w:asciiTheme="minorHAnsi" w:hAnsiTheme="minorHAnsi" w:cstheme="minorHAnsi"/>
          <w:sz w:val="22"/>
          <w:szCs w:val="22"/>
          <w:lang w:val="en-GB"/>
        </w:rPr>
        <w:t>Mousterian industries through t</w:t>
      </w:r>
      <w:r w:rsidR="00B36F99" w:rsidRPr="004B1683">
        <w:rPr>
          <w:rFonts w:asciiTheme="minorHAnsi" w:hAnsiTheme="minorHAnsi" w:cstheme="minorHAnsi"/>
          <w:sz w:val="22"/>
          <w:szCs w:val="22"/>
          <w:lang w:val="en-GB"/>
        </w:rPr>
        <w:t>he entire fluvial sequence;</w:t>
      </w:r>
      <w:r w:rsidR="00A20317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T6, +10 m, with Mousterian in</w:t>
      </w:r>
      <w:r w:rsidR="00B36F9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dustries </w:t>
      </w:r>
      <w:r w:rsidR="00665252" w:rsidRPr="004B1683">
        <w:rPr>
          <w:rFonts w:asciiTheme="minorHAnsi" w:hAnsiTheme="minorHAnsi" w:cstheme="minorHAnsi"/>
          <w:sz w:val="22"/>
          <w:szCs w:val="22"/>
          <w:lang w:val="en-GB"/>
        </w:rPr>
        <w:t>in</w:t>
      </w:r>
      <w:r w:rsidR="00B36F9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the lower deposits. </w:t>
      </w:r>
      <w:r w:rsidR="00B554B8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768EF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Q3 and Q4 terrace levels now correspond to T4 and T5. </w:t>
      </w:r>
      <w:r w:rsidR="00505FEE" w:rsidRPr="004B1683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665252" w:rsidRPr="004B1683">
        <w:rPr>
          <w:rFonts w:asciiTheme="minorHAnsi" w:hAnsiTheme="minorHAnsi" w:cstheme="minorHAnsi"/>
          <w:sz w:val="22"/>
          <w:szCs w:val="22"/>
          <w:lang w:val="en-GB"/>
        </w:rPr>
        <w:t>erraces</w:t>
      </w:r>
      <w:r w:rsidR="00505FEE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T6, T5 and the upper division of T4 are well </w:t>
      </w:r>
      <w:r w:rsidR="00505FEE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dated by Luminescence. </w:t>
      </w:r>
      <w:r w:rsidR="00B36F9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The </w:t>
      </w:r>
      <w:r w:rsidR="0066525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u</w:t>
      </w:r>
      <w:r w:rsidR="003F1411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pper division</w:t>
      </w:r>
      <w:r w:rsidR="0066525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of T4,</w:t>
      </w:r>
      <w:r w:rsidR="003F1411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dated as c. 310 ka (base), </w:t>
      </w:r>
      <w:r w:rsidR="00B554B8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to 155 ka (top), </w:t>
      </w:r>
      <w:r w:rsidR="003F1411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has several stratigraphic levels with Lower Pal</w:t>
      </w:r>
      <w:r w:rsidR="00D82658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</w:t>
      </w:r>
      <w:r w:rsidR="003F1411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eolithic industries at the middle and lower levels</w:t>
      </w:r>
      <w:r w:rsidR="00B554B8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and Middle Palaeolithic industries at the top</w:t>
      </w:r>
      <w:r w:rsidR="003F1411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. The </w:t>
      </w:r>
      <w:r w:rsidR="00B36F9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lower division</w:t>
      </w:r>
      <w:r w:rsidR="0066525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of T4</w:t>
      </w:r>
      <w:r w:rsidR="00B36F9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consisting of gravels, has a </w:t>
      </w:r>
      <w:r w:rsidR="003F1411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probable age </w:t>
      </w:r>
      <w:r w:rsidR="0066525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range</w:t>
      </w:r>
      <w:r w:rsidR="003F1411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of </w:t>
      </w:r>
      <w:r w:rsidR="00F6517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c. </w:t>
      </w:r>
      <w:r w:rsidR="00B36F9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310 ka </w:t>
      </w:r>
      <w:r w:rsidR="003F1411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to 340 ka or </w:t>
      </w:r>
      <w:r w:rsidR="00F6517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460 ka (?) </w:t>
      </w:r>
      <w:r w:rsidR="00B36F9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and contains very rare and crude quartzite artefacts. N</w:t>
      </w:r>
      <w:r w:rsidR="00936EF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o evidence of </w:t>
      </w:r>
      <w:r w:rsidR="008F365B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archaic</w:t>
      </w:r>
      <w:r w:rsidR="00B36F9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="00936EF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human occupations was yet found from </w:t>
      </w:r>
      <w:r w:rsidR="00B36F9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the </w:t>
      </w:r>
      <w:r w:rsidR="00F768EF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three </w:t>
      </w:r>
      <w:r w:rsidR="00B36F9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older terrace</w:t>
      </w:r>
      <w:r w:rsidR="008F365B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</w:t>
      </w:r>
      <w:r w:rsidR="00936EF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. </w:t>
      </w:r>
      <w:r w:rsidR="008F62EE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However, s</w:t>
      </w:r>
      <w:r w:rsidR="00936EF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ince in Spain evidence of archaic human occupation goes back t</w:t>
      </w:r>
      <w:r w:rsidR="00B36F9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o 1.6 Ma</w:t>
      </w:r>
      <w:r w:rsidR="00936EF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the most 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probable explanation must be related to the </w:t>
      </w:r>
      <w:r w:rsidR="00665252" w:rsidRPr="004B1683">
        <w:rPr>
          <w:rFonts w:asciiTheme="minorHAnsi" w:hAnsiTheme="minorHAnsi" w:cstheme="minorHAnsi"/>
          <w:sz w:val="22"/>
          <w:szCs w:val="22"/>
          <w:lang w:val="en-GB"/>
        </w:rPr>
        <w:t>limited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surveying </w:t>
      </w:r>
      <w:r w:rsidR="00665252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of 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these terraces. </w:t>
      </w:r>
      <w:r w:rsidR="00B554B8" w:rsidRPr="004B1683">
        <w:rPr>
          <w:rFonts w:asciiTheme="minorHAnsi" w:hAnsiTheme="minorHAnsi" w:cstheme="minorHAnsi"/>
          <w:sz w:val="22"/>
          <w:szCs w:val="22"/>
          <w:lang w:val="en-GB"/>
        </w:rPr>
        <w:t>Furthermore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, the </w:t>
      </w:r>
      <w:r w:rsidR="009116CE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archaeological 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936EF9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ata from T4 </w:t>
      </w:r>
      <w:r w:rsidR="006746DA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(Acheulean and Mousterian industries) </w:t>
      </w:r>
      <w:r w:rsidR="00936EF9" w:rsidRPr="008F365B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9116CE" w:rsidRPr="008F365B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6746DA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poorly known and systematized.</w:t>
      </w:r>
    </w:p>
    <w:p w14:paraId="3F4139D2" w14:textId="01C50E69" w:rsidR="00F768EF" w:rsidRPr="007F4D2A" w:rsidRDefault="008F62EE" w:rsidP="007F4D2A">
      <w:pPr>
        <w:spacing w:after="8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3F1411">
        <w:rPr>
          <w:rFonts w:asciiTheme="minorHAnsi" w:hAnsiTheme="minorHAnsi" w:cstheme="minorHAnsi"/>
          <w:sz w:val="22"/>
          <w:szCs w:val="22"/>
          <w:lang w:val="en-GB"/>
        </w:rPr>
        <w:lastRenderedPageBreak/>
        <w:t>Here, w</w:t>
      </w:r>
      <w:r w:rsidR="00936EF9"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e present new Lower and Middle 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>Palaeolithic sites</w:t>
      </w:r>
      <w:r w:rsidR="00F768EF" w:rsidRPr="004B1683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resulting from the surveys related to both </w:t>
      </w:r>
      <w:r w:rsidR="007F4D2A">
        <w:rPr>
          <w:rFonts w:asciiTheme="minorHAnsi" w:hAnsiTheme="minorHAnsi" w:cstheme="minorHAnsi"/>
          <w:sz w:val="22"/>
          <w:szCs w:val="22"/>
          <w:lang w:val="en-GB"/>
        </w:rPr>
        <w:t>preventive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and research projects that, together with already existent data, enrich the dataset </w:t>
      </w:r>
      <w:r w:rsidR="008F365B" w:rsidRPr="004B1683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allow refin</w:t>
      </w:r>
      <w:r w:rsidR="00665252" w:rsidRPr="004B1683">
        <w:rPr>
          <w:rFonts w:asciiTheme="minorHAnsi" w:hAnsiTheme="minorHAnsi" w:cstheme="minorHAnsi"/>
          <w:sz w:val="22"/>
          <w:szCs w:val="22"/>
          <w:lang w:val="en-GB"/>
        </w:rPr>
        <w:t>ement of</w:t>
      </w:r>
      <w:r w:rsidR="00936EF9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 the Acheulean-Moust</w:t>
      </w:r>
      <w:r w:rsidR="00F65172" w:rsidRPr="004B1683">
        <w:rPr>
          <w:rFonts w:asciiTheme="minorHAnsi" w:hAnsiTheme="minorHAnsi" w:cstheme="minorHAnsi"/>
          <w:sz w:val="22"/>
          <w:szCs w:val="22"/>
          <w:lang w:val="en-GB"/>
        </w:rPr>
        <w:t xml:space="preserve">erian </w:t>
      </w:r>
      <w:r w:rsidR="00F6517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transition in western</w:t>
      </w:r>
      <w:r w:rsidR="00936EF9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Iberia.</w:t>
      </w:r>
      <w:r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These </w:t>
      </w:r>
      <w:r w:rsidR="00D04FAE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new contexts are located </w:t>
      </w:r>
      <w:r w:rsidR="00F6517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in the sectors I and IV of the L</w:t>
      </w:r>
      <w:r w:rsidR="00D04FAE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ower </w:t>
      </w:r>
      <w:proofErr w:type="spellStart"/>
      <w:r w:rsidR="00D04FAE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Tejo</w:t>
      </w:r>
      <w:proofErr w:type="spellEnd"/>
      <w:r w:rsidR="00F6517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(Portuguese sector of the </w:t>
      </w:r>
      <w:proofErr w:type="spellStart"/>
      <w:r w:rsidR="00F6517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Tejo</w:t>
      </w:r>
      <w:proofErr w:type="spellEnd"/>
      <w:r w:rsidR="00F65172" w:rsidRP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/Tagus</w:t>
      </w:r>
      <w:r w:rsidR="00F6517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River)</w:t>
      </w:r>
      <w:r w:rsidR="00D04FAE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. </w:t>
      </w:r>
      <w:r w:rsidR="00CC37A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In sector I</w:t>
      </w:r>
      <w:r w:rsidR="00F6517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(</w:t>
      </w:r>
      <w:r w:rsidR="0066525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further</w:t>
      </w:r>
      <w:r w:rsidR="00F6517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upstream)</w:t>
      </w:r>
      <w:r w:rsidR="00CC37A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</w:t>
      </w:r>
      <w:r w:rsidR="002D1553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th</w:t>
      </w:r>
      <w:r w:rsidR="0066525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is evidence, which</w:t>
      </w:r>
      <w:r w:rsidR="00CC37A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="0066525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is</w:t>
      </w:r>
      <w:r w:rsidR="00CC37A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all </w:t>
      </w:r>
      <w:r w:rsidR="0066525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from</w:t>
      </w:r>
      <w:r w:rsidR="00CC37A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the right margin, consist</w:t>
      </w:r>
      <w:r w:rsidR="0066525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 of Mousterian occupation</w:t>
      </w:r>
      <w:r w:rsidR="00CC37A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and </w:t>
      </w:r>
      <w:r w:rsidR="0066525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is</w:t>
      </w:r>
      <w:r w:rsidR="00CC37A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covered by the </w:t>
      </w:r>
      <w:proofErr w:type="spellStart"/>
      <w:r w:rsidR="00CC37A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Carregueira</w:t>
      </w:r>
      <w:proofErr w:type="spellEnd"/>
      <w:r w:rsidR="00CC37A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Formation </w:t>
      </w:r>
      <w:r w:rsidR="00F6517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(aeolian sands) </w:t>
      </w:r>
      <w:r w:rsidR="004D039D" w:rsidRPr="008F365B">
        <w:rPr>
          <w:rFonts w:asciiTheme="minorHAnsi" w:hAnsiTheme="minorHAnsi" w:cstheme="minorHAnsi"/>
          <w:sz w:val="22"/>
          <w:szCs w:val="22"/>
          <w:lang w:val="en-GB"/>
        </w:rPr>
        <w:t>in which</w:t>
      </w:r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Late Upper Palaeolithic to Neolithic remains are preserved, sometimes with features such as heart</w:t>
      </w:r>
      <w:r w:rsidR="004D039D" w:rsidRPr="008F365B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s. </w:t>
      </w:r>
      <w:r w:rsidR="004D039D" w:rsidRPr="008F365B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ector II </w:t>
      </w:r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(from </w:t>
      </w:r>
      <w:proofErr w:type="spellStart"/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>Arneiro</w:t>
      </w:r>
      <w:proofErr w:type="spellEnd"/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proofErr w:type="spellStart"/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>Gavião</w:t>
      </w:r>
      <w:proofErr w:type="spellEnd"/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>and sector</w:t>
      </w:r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III </w:t>
      </w:r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(from </w:t>
      </w:r>
      <w:proofErr w:type="spellStart"/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>Gavião</w:t>
      </w:r>
      <w:proofErr w:type="spellEnd"/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>Arripiado</w:t>
      </w:r>
      <w:proofErr w:type="spellEnd"/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D039D" w:rsidRPr="008F365B">
        <w:rPr>
          <w:rFonts w:asciiTheme="minorHAnsi" w:hAnsiTheme="minorHAnsi" w:cstheme="minorHAnsi"/>
          <w:sz w:val="22"/>
          <w:szCs w:val="22"/>
          <w:lang w:val="en-GB"/>
        </w:rPr>
        <w:t>have not yielded</w:t>
      </w:r>
      <w:r w:rsidR="00CC37A2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relevant </w:t>
      </w:r>
      <w:r w:rsidR="004D039D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new </w:t>
      </w:r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evidence. In sector IV (from </w:t>
      </w:r>
      <w:proofErr w:type="spellStart"/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>Arripiado</w:t>
      </w:r>
      <w:proofErr w:type="spellEnd"/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to Vila Franca de </w:t>
      </w:r>
      <w:proofErr w:type="spellStart"/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>Xira</w:t>
      </w:r>
      <w:proofErr w:type="spellEnd"/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>) all three new contexts are in the left margin and correspond to</w:t>
      </w:r>
      <w:r w:rsidR="004D039D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the</w:t>
      </w:r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Acheulean. One consists of two </w:t>
      </w:r>
      <w:r w:rsidR="004D039D" w:rsidRPr="008F365B">
        <w:rPr>
          <w:rFonts w:asciiTheme="minorHAnsi" w:hAnsiTheme="minorHAnsi" w:cstheme="minorHAnsi"/>
          <w:sz w:val="22"/>
          <w:szCs w:val="22"/>
          <w:lang w:val="en-GB"/>
        </w:rPr>
        <w:t>super</w:t>
      </w:r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>imposed levels of lithic implements withi</w:t>
      </w:r>
      <w:r w:rsidR="002D1553"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n the Acheulean of </w:t>
      </w:r>
      <w:proofErr w:type="spellStart"/>
      <w:r w:rsidR="002D1553" w:rsidRPr="003F1411">
        <w:rPr>
          <w:rFonts w:asciiTheme="minorHAnsi" w:hAnsiTheme="minorHAnsi" w:cstheme="minorHAnsi"/>
          <w:sz w:val="22"/>
          <w:szCs w:val="22"/>
          <w:lang w:val="en-GB"/>
        </w:rPr>
        <w:t>Alpiarça</w:t>
      </w:r>
      <w:proofErr w:type="spellEnd"/>
      <w:r w:rsidR="002D1553" w:rsidRPr="003F1411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4D039D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other </w:t>
      </w:r>
      <w:r w:rsidR="004D039D" w:rsidRPr="008F365B">
        <w:rPr>
          <w:rFonts w:asciiTheme="minorHAnsi" w:hAnsiTheme="minorHAnsi" w:cstheme="minorHAnsi"/>
          <w:sz w:val="22"/>
          <w:szCs w:val="22"/>
          <w:lang w:val="en-GB"/>
        </w:rPr>
        <w:t>is</w:t>
      </w:r>
      <w:r w:rsidR="002D1553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 a </w:t>
      </w:r>
      <w:r w:rsidR="004B1EB8" w:rsidRPr="008F365B">
        <w:rPr>
          <w:rFonts w:asciiTheme="minorHAnsi" w:hAnsiTheme="minorHAnsi" w:cstheme="minorHAnsi"/>
          <w:sz w:val="22"/>
          <w:szCs w:val="22"/>
          <w:lang w:val="en-GB"/>
        </w:rPr>
        <w:t xml:space="preserve">layer in a remnant of the base of 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T4</w:t>
      </w:r>
      <w:r w:rsidR="00F6517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,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="00F6517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just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above the thick </w:t>
      </w:r>
      <w:r w:rsidR="004D039D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basal 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gravel and the third </w:t>
      </w:r>
      <w:r w:rsidR="004D039D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is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an occupation </w:t>
      </w:r>
      <w:r w:rsid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in the base of the T4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.</w:t>
      </w:r>
      <w:r w:rsidR="007F4D2A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Th</w:t>
      </w:r>
      <w:r w:rsidR="004D039D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is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new </w:t>
      </w:r>
      <w:r w:rsidR="004D039D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evidence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, together with previous</w:t>
      </w:r>
      <w:r w:rsidR="004D039D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data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, provide</w:t>
      </w:r>
      <w:r w:rsidR="004D039D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fundamental data that </w:t>
      </w:r>
      <w:r w:rsidR="004D039D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provide</w:t>
      </w:r>
      <w:r w:rsidR="004B168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a re</w:t>
      </w:r>
      <w:r w:rsidR="00F6517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fined framework for the Lower and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Middle Palaeolithi</w:t>
      </w:r>
      <w:r w:rsidR="00F65172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 in western</w:t>
      </w:r>
      <w:r w:rsidR="004B1EB8" w:rsidRPr="008F365B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Iber</w:t>
      </w:r>
      <w:r w:rsidR="004B1EB8" w:rsidRPr="008F365B">
        <w:rPr>
          <w:rFonts w:asciiTheme="minorHAnsi" w:hAnsiTheme="minorHAnsi" w:cstheme="minorHAnsi"/>
          <w:sz w:val="22"/>
          <w:szCs w:val="22"/>
          <w:lang w:val="en-GB"/>
        </w:rPr>
        <w:t>ia.</w:t>
      </w:r>
    </w:p>
    <w:sectPr w:rsidR="00F768EF" w:rsidRPr="007F4D2A" w:rsidSect="00B8041F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EF9"/>
    <w:rsid w:val="002765A9"/>
    <w:rsid w:val="002D1553"/>
    <w:rsid w:val="003C1AA1"/>
    <w:rsid w:val="003F1411"/>
    <w:rsid w:val="004B1683"/>
    <w:rsid w:val="004B1EB8"/>
    <w:rsid w:val="004D039D"/>
    <w:rsid w:val="00505FEE"/>
    <w:rsid w:val="0051473A"/>
    <w:rsid w:val="00541190"/>
    <w:rsid w:val="00594026"/>
    <w:rsid w:val="005F11D9"/>
    <w:rsid w:val="00665252"/>
    <w:rsid w:val="006746DA"/>
    <w:rsid w:val="00700CDA"/>
    <w:rsid w:val="0077564C"/>
    <w:rsid w:val="007F4D2A"/>
    <w:rsid w:val="008B3467"/>
    <w:rsid w:val="008F365B"/>
    <w:rsid w:val="008F62EE"/>
    <w:rsid w:val="009116CE"/>
    <w:rsid w:val="00933E18"/>
    <w:rsid w:val="00936EF9"/>
    <w:rsid w:val="00A20317"/>
    <w:rsid w:val="00B36F99"/>
    <w:rsid w:val="00B554B8"/>
    <w:rsid w:val="00B8041F"/>
    <w:rsid w:val="00BA79AD"/>
    <w:rsid w:val="00C11CF3"/>
    <w:rsid w:val="00CC37A2"/>
    <w:rsid w:val="00CC75D4"/>
    <w:rsid w:val="00D04FAE"/>
    <w:rsid w:val="00D2080A"/>
    <w:rsid w:val="00D82658"/>
    <w:rsid w:val="00F365AD"/>
    <w:rsid w:val="00F65172"/>
    <w:rsid w:val="00F753A3"/>
    <w:rsid w:val="00F768EF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6029"/>
  <w15:chartTrackingRefBased/>
  <w15:docId w15:val="{D2C2F16D-23AC-414F-8533-03583AD0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66525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6525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6525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525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5252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6525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5252"/>
    <w:rPr>
      <w:rFonts w:ascii="Segoe UI" w:eastAsia="Times New Roman" w:hAnsi="Segoe UI" w:cs="Segoe UI"/>
      <w:sz w:val="18"/>
      <w:szCs w:val="1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1473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1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FDD2-82DC-45A3-BC1B-F1FC05BE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854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Proença Cunha</dc:creator>
  <cp:keywords/>
  <dc:description/>
  <cp:lastModifiedBy>Telmo Pereira</cp:lastModifiedBy>
  <cp:revision>3</cp:revision>
  <dcterms:created xsi:type="dcterms:W3CDTF">2021-04-19T20:45:00Z</dcterms:created>
  <dcterms:modified xsi:type="dcterms:W3CDTF">2021-04-19T22:45:00Z</dcterms:modified>
</cp:coreProperties>
</file>